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bookmarkStart w:id="0" w:name="_GoBack"/>
      <w:bookmarkEnd w:id="0"/>
      <w:r w:rsidRPr="002C6C08">
        <w:rPr>
          <w:rFonts w:ascii="Arial" w:eastAsia="Arial Unicode MS" w:hAnsi="Arial"/>
          <w:b/>
          <w:bCs/>
          <w:kern w:val="0"/>
          <w:sz w:val="28"/>
          <w:szCs w:val="28"/>
          <w:lang w:eastAsia="en-US"/>
        </w:rPr>
        <w:t>3GPP T</w:t>
      </w:r>
      <w:bookmarkStart w:id="1" w:name="_Ref452454252"/>
      <w:bookmarkEnd w:id="1"/>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3C391C">
        <w:rPr>
          <w:rFonts w:ascii="Arial" w:eastAsia="Arial Unicode MS" w:hAnsi="Arial"/>
          <w:b/>
          <w:bCs/>
          <w:kern w:val="0"/>
          <w:sz w:val="28"/>
          <w:szCs w:val="28"/>
        </w:rPr>
        <w:t>3</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00E443DA" w:rsidRPr="00E443DA">
        <w:rPr>
          <w:rFonts w:ascii="Arial" w:eastAsia="Arial Unicode MS" w:hAnsi="Arial"/>
          <w:b/>
          <w:bCs/>
          <w:kern w:val="0"/>
          <w:sz w:val="28"/>
          <w:szCs w:val="28"/>
        </w:rPr>
        <w:t>2100641</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3C391C">
        <w:rPr>
          <w:rFonts w:ascii="Arial" w:eastAsia="Arial Unicode MS" w:hAnsi="Arial"/>
          <w:b/>
          <w:bCs/>
          <w:kern w:val="0"/>
          <w:sz w:val="24"/>
          <w:szCs w:val="20"/>
        </w:rPr>
        <w:t xml:space="preserve">25 Jan.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3C391C">
        <w:rPr>
          <w:rFonts w:ascii="Arial" w:eastAsia="Arial Unicode MS" w:hAnsi="Arial"/>
          <w:b/>
          <w:bCs/>
          <w:kern w:val="0"/>
          <w:sz w:val="24"/>
          <w:szCs w:val="20"/>
        </w:rPr>
        <w:t>5</w:t>
      </w:r>
      <w:r w:rsidR="00EB0333">
        <w:rPr>
          <w:rFonts w:ascii="Arial" w:eastAsia="Arial Unicode MS" w:hAnsi="Arial"/>
          <w:b/>
          <w:bCs/>
          <w:kern w:val="0"/>
          <w:sz w:val="24"/>
          <w:szCs w:val="20"/>
        </w:rPr>
        <w:t xml:space="preserve"> </w:t>
      </w:r>
      <w:r w:rsidR="003C391C">
        <w:rPr>
          <w:rFonts w:ascii="Arial" w:eastAsia="Arial Unicode MS" w:hAnsi="Arial"/>
          <w:b/>
          <w:bCs/>
          <w:kern w:val="0"/>
          <w:sz w:val="24"/>
          <w:szCs w:val="20"/>
        </w:rPr>
        <w:t>Feb.</w:t>
      </w:r>
      <w:r w:rsidR="003E16F6" w:rsidRPr="002C6C08">
        <w:rPr>
          <w:rFonts w:ascii="Arial" w:eastAsia="Arial Unicode MS" w:hAnsi="Arial" w:hint="eastAsia"/>
          <w:b/>
          <w:bCs/>
          <w:kern w:val="0"/>
          <w:sz w:val="24"/>
          <w:szCs w:val="20"/>
        </w:rPr>
        <w:t>,</w:t>
      </w:r>
      <w:r w:rsidR="003C391C">
        <w:rPr>
          <w:rFonts w:ascii="Arial" w:eastAsia="Arial Unicode MS" w:hAnsi="Arial"/>
          <w:b/>
          <w:bCs/>
          <w:kern w:val="0"/>
          <w:sz w:val="24"/>
          <w:szCs w:val="20"/>
        </w:rPr>
        <w:t xml:space="preserve"> 2021</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4D7A40" w:rsidRDefault="003E16F6" w:rsidP="003E16F6">
      <w:pPr>
        <w:widowControl/>
        <w:spacing w:after="120"/>
        <w:jc w:val="left"/>
        <w:rPr>
          <w:rFonts w:ascii="Arial" w:eastAsia="Arial Unicode MS" w:hAnsi="Arial" w:cs="Arial"/>
          <w:b/>
          <w:bCs/>
          <w:kern w:val="0"/>
          <w:sz w:val="18"/>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D7A40" w:rsidRPr="004D7A40">
        <w:rPr>
          <w:rFonts w:ascii="Arial" w:eastAsia="Arial Unicode MS" w:hAnsi="Arial" w:cs="Arial"/>
          <w:b/>
          <w:bCs/>
          <w:kern w:val="0"/>
          <w:sz w:val="24"/>
          <w:szCs w:val="20"/>
        </w:rPr>
        <w:t>8.2.2</w:t>
      </w:r>
      <w:r w:rsidR="004D7A40" w:rsidRPr="004D7A40">
        <w:rPr>
          <w:rFonts w:ascii="Arial" w:eastAsia="Arial Unicode MS" w:hAnsi="Arial" w:cs="Arial"/>
          <w:b/>
          <w:bCs/>
          <w:kern w:val="0"/>
          <w:sz w:val="24"/>
          <w:szCs w:val="20"/>
        </w:rPr>
        <w:tab/>
      </w:r>
      <w:r w:rsidR="004D7A40" w:rsidRPr="004D7A40">
        <w:rPr>
          <w:rFonts w:ascii="Arial" w:eastAsia="Arial Unicode MS" w:hAnsi="Arial" w:cs="Arial"/>
          <w:b/>
          <w:bCs/>
          <w:kern w:val="0"/>
          <w:sz w:val="18"/>
          <w:szCs w:val="20"/>
        </w:rPr>
        <w:t>Efficient activation / deactivation mechanism for one SCG and SCells</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29092C">
        <w:rPr>
          <w:rFonts w:ascii="Arial" w:eastAsia="Arial Unicode MS" w:hAnsi="Arial" w:cs="Arial"/>
          <w:b/>
          <w:bCs/>
          <w:kern w:val="0"/>
          <w:sz w:val="24"/>
          <w:szCs w:val="20"/>
        </w:rPr>
        <w:t xml:space="preserve">SCG </w:t>
      </w:r>
      <w:r w:rsidR="00CC199C">
        <w:rPr>
          <w:rFonts w:ascii="Arial" w:eastAsia="Arial Unicode MS" w:hAnsi="Arial" w:cs="Arial"/>
          <w:b/>
          <w:bCs/>
          <w:kern w:val="0"/>
          <w:sz w:val="24"/>
          <w:szCs w:val="20"/>
        </w:rPr>
        <w:t>(</w:t>
      </w:r>
      <w:r w:rsidR="0029092C">
        <w:rPr>
          <w:rFonts w:ascii="Arial" w:eastAsia="Arial Unicode MS" w:hAnsi="Arial" w:cs="Arial"/>
          <w:b/>
          <w:bCs/>
          <w:kern w:val="0"/>
          <w:sz w:val="24"/>
          <w:szCs w:val="20"/>
        </w:rPr>
        <w:t>de</w:t>
      </w:r>
      <w:r w:rsidR="00CC199C">
        <w:rPr>
          <w:rFonts w:ascii="Arial" w:eastAsia="Arial Unicode MS" w:hAnsi="Arial" w:cs="Arial"/>
          <w:b/>
          <w:bCs/>
          <w:kern w:val="0"/>
          <w:sz w:val="24"/>
          <w:szCs w:val="20"/>
        </w:rPr>
        <w:t>)</w:t>
      </w:r>
      <w:r w:rsidR="0029092C">
        <w:rPr>
          <w:rFonts w:ascii="Arial" w:eastAsia="Arial Unicode MS" w:hAnsi="Arial" w:cs="Arial"/>
          <w:b/>
          <w:bCs/>
          <w:kern w:val="0"/>
          <w:sz w:val="24"/>
          <w:szCs w:val="20"/>
        </w:rPr>
        <w:t>activation</w:t>
      </w:r>
      <w:r w:rsidR="00CC199C">
        <w:rPr>
          <w:rFonts w:ascii="Arial" w:eastAsia="Arial Unicode MS" w:hAnsi="Arial" w:cs="Arial"/>
          <w:b/>
          <w:bCs/>
          <w:kern w:val="0"/>
          <w:sz w:val="24"/>
          <w:szCs w:val="20"/>
        </w:rPr>
        <w:t xml:space="preserve"> initiation</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Pr="002C6C08" w:rsidRDefault="00AD6E10" w:rsidP="003E16F6">
      <w:pPr>
        <w:widowControl/>
        <w:rPr>
          <w:rFonts w:ascii="Arial" w:eastAsia="Arial Unicode MS" w:hAnsi="Arial"/>
          <w:kern w:val="0"/>
          <w:sz w:val="20"/>
          <w:szCs w:val="20"/>
        </w:rPr>
      </w:pPr>
      <w:r>
        <w:rPr>
          <w:rFonts w:ascii="Arial" w:eastAsia="Arial Unicode MS" w:hAnsi="Arial"/>
          <w:kern w:val="0"/>
          <w:sz w:val="20"/>
          <w:szCs w:val="20"/>
        </w:rPr>
        <w:t>In RAN2#11</w:t>
      </w:r>
      <w:r w:rsidR="004F3742">
        <w:rPr>
          <w:rFonts w:ascii="Arial" w:eastAsia="Arial Unicode MS" w:hAnsi="Arial"/>
          <w:kern w:val="0"/>
          <w:sz w:val="20"/>
          <w:szCs w:val="20"/>
        </w:rPr>
        <w:t>2</w:t>
      </w:r>
      <w:r>
        <w:rPr>
          <w:rFonts w:ascii="Arial" w:eastAsia="Arial Unicode MS" w:hAnsi="Arial"/>
          <w:kern w:val="0"/>
          <w:sz w:val="20"/>
          <w:szCs w:val="20"/>
        </w:rPr>
        <w:t xml:space="preserve">e, there were </w:t>
      </w:r>
      <w:r w:rsidR="00AF4FDB">
        <w:rPr>
          <w:rFonts w:ascii="Arial" w:eastAsia="Arial Unicode MS" w:hAnsi="Arial"/>
          <w:kern w:val="0"/>
          <w:sz w:val="20"/>
          <w:szCs w:val="20"/>
        </w:rPr>
        <w:t xml:space="preserve">a lot of </w:t>
      </w:r>
      <w:r>
        <w:rPr>
          <w:rFonts w:ascii="Arial" w:eastAsia="Arial Unicode MS" w:hAnsi="Arial"/>
          <w:kern w:val="0"/>
          <w:sz w:val="20"/>
          <w:szCs w:val="20"/>
        </w:rPr>
        <w:t>agreements on the SCG deactivation [1].</w:t>
      </w:r>
      <w:r w:rsidR="00F676EB">
        <w:rPr>
          <w:rFonts w:ascii="Arial" w:eastAsia="Arial Unicode MS" w:hAnsi="Arial"/>
          <w:kern w:val="0"/>
          <w:sz w:val="20"/>
          <w:szCs w:val="20"/>
        </w:rPr>
        <w:t xml:space="preserve"> The overview of SCG deactivation can be expected based on those agreements, while there are still many FFSs </w:t>
      </w:r>
      <w:r w:rsidR="00CC199C">
        <w:rPr>
          <w:rFonts w:ascii="Arial" w:eastAsia="Arial Unicode MS" w:hAnsi="Arial"/>
          <w:kern w:val="0"/>
          <w:sz w:val="20"/>
          <w:szCs w:val="20"/>
        </w:rPr>
        <w:t>which we discuss in [</w:t>
      </w:r>
      <w:r w:rsidR="008713E9">
        <w:rPr>
          <w:rFonts w:ascii="Arial" w:eastAsia="Arial Unicode MS" w:hAnsi="Arial"/>
          <w:kern w:val="0"/>
          <w:sz w:val="20"/>
          <w:szCs w:val="20"/>
        </w:rPr>
        <w:t>2</w:t>
      </w:r>
      <w:r w:rsidR="00CC199C">
        <w:rPr>
          <w:rFonts w:ascii="Arial" w:eastAsia="Arial Unicode MS" w:hAnsi="Arial"/>
          <w:kern w:val="0"/>
          <w:sz w:val="20"/>
          <w:szCs w:val="20"/>
        </w:rPr>
        <w:t>]</w:t>
      </w:r>
      <w:r w:rsidR="00F676EB">
        <w:rPr>
          <w:rFonts w:ascii="Arial" w:eastAsia="Arial Unicode MS" w:hAnsi="Arial"/>
          <w:kern w:val="0"/>
          <w:sz w:val="20"/>
          <w:szCs w:val="20"/>
        </w:rPr>
        <w:t xml:space="preserve">. In this contribution, we discuss </w:t>
      </w:r>
      <w:r w:rsidR="007E4FEB">
        <w:rPr>
          <w:rFonts w:ascii="Arial" w:eastAsia="Arial Unicode MS" w:hAnsi="Arial"/>
          <w:kern w:val="0"/>
          <w:sz w:val="20"/>
          <w:szCs w:val="20"/>
        </w:rPr>
        <w:t>another open issue about the</w:t>
      </w:r>
      <w:r w:rsidR="00094D82">
        <w:rPr>
          <w:rFonts w:ascii="Arial" w:eastAsia="Arial Unicode MS" w:hAnsi="Arial"/>
          <w:kern w:val="0"/>
          <w:sz w:val="20"/>
          <w:szCs w:val="20"/>
        </w:rPr>
        <w:t xml:space="preserve"> SCG (de)activation initiation which RAN3 discussed and is waiting for RAN2 progress.</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864D94" w:rsidRDefault="00B960D0" w:rsidP="00095FC9">
      <w:pPr>
        <w:widowControl/>
        <w:spacing w:after="120" w:line="240" w:lineRule="atLeast"/>
        <w:rPr>
          <w:rFonts w:ascii="Arial" w:hAnsi="Arial"/>
          <w:kern w:val="0"/>
          <w:sz w:val="20"/>
          <w:szCs w:val="20"/>
        </w:rPr>
      </w:pPr>
      <w:r>
        <w:rPr>
          <w:rFonts w:ascii="Arial" w:hAnsi="Arial"/>
          <w:kern w:val="0"/>
          <w:sz w:val="20"/>
          <w:szCs w:val="20"/>
        </w:rPr>
        <w:t xml:space="preserve">Regarding the SCG (de)activation, </w:t>
      </w:r>
      <w:r w:rsidR="00F16EC4">
        <w:rPr>
          <w:rFonts w:ascii="Arial" w:hAnsi="Arial"/>
          <w:kern w:val="0"/>
          <w:sz w:val="20"/>
          <w:szCs w:val="20"/>
        </w:rPr>
        <w:t xml:space="preserve">both the MN-initiated and the SN-initiated </w:t>
      </w:r>
      <w:r w:rsidR="002B3642">
        <w:rPr>
          <w:rFonts w:ascii="Arial" w:hAnsi="Arial" w:hint="eastAsia"/>
          <w:kern w:val="0"/>
          <w:sz w:val="20"/>
          <w:szCs w:val="20"/>
        </w:rPr>
        <w:t xml:space="preserve">procedure </w:t>
      </w:r>
      <w:r w:rsidR="00F16EC4">
        <w:rPr>
          <w:rFonts w:ascii="Arial" w:hAnsi="Arial"/>
          <w:kern w:val="0"/>
          <w:sz w:val="20"/>
          <w:szCs w:val="20"/>
        </w:rPr>
        <w:t xml:space="preserve">can be expected. </w:t>
      </w:r>
      <w:r w:rsidR="00B014C3">
        <w:rPr>
          <w:rFonts w:ascii="Arial" w:hAnsi="Arial"/>
          <w:kern w:val="0"/>
          <w:sz w:val="20"/>
          <w:szCs w:val="20"/>
        </w:rPr>
        <w:t>For example, if the MN sees a need of configuring the MN-terminated split bearer or changing the MN-terminated MCG bearer to MN-terminated split bearer, the MN can initiate the SCG activation. Later, if the MN does not see a need of SCG leg, the MN can initiate the SCG deactivation.</w:t>
      </w:r>
      <w:r w:rsidR="008119EA">
        <w:rPr>
          <w:rFonts w:ascii="Arial" w:hAnsi="Arial"/>
          <w:kern w:val="0"/>
          <w:sz w:val="20"/>
          <w:szCs w:val="20"/>
        </w:rPr>
        <w:t xml:space="preserve"> </w:t>
      </w:r>
      <w:r w:rsidR="003D6098">
        <w:rPr>
          <w:rFonts w:ascii="Arial" w:hAnsi="Arial"/>
          <w:kern w:val="0"/>
          <w:sz w:val="20"/>
          <w:szCs w:val="20"/>
        </w:rPr>
        <w:t>Similarly</w:t>
      </w:r>
      <w:r w:rsidR="00864D94">
        <w:rPr>
          <w:rFonts w:ascii="Arial" w:hAnsi="Arial"/>
          <w:kern w:val="0"/>
          <w:sz w:val="20"/>
          <w:szCs w:val="20"/>
        </w:rPr>
        <w:t>, if the SN sees a need of configuring the SN-terminated bearer (split or SCG)</w:t>
      </w:r>
      <w:r w:rsidR="003E6F6F">
        <w:rPr>
          <w:rFonts w:ascii="Arial" w:hAnsi="Arial"/>
          <w:kern w:val="0"/>
          <w:sz w:val="20"/>
          <w:szCs w:val="20"/>
        </w:rPr>
        <w:t xml:space="preserve"> or </w:t>
      </w:r>
      <w:r w:rsidR="00864D94">
        <w:rPr>
          <w:rFonts w:ascii="Arial" w:hAnsi="Arial"/>
          <w:kern w:val="0"/>
          <w:sz w:val="20"/>
          <w:szCs w:val="20"/>
        </w:rPr>
        <w:t>changing the SN-terminated MCG beare</w:t>
      </w:r>
      <w:r w:rsidR="003E6F6F">
        <w:rPr>
          <w:rFonts w:ascii="Arial" w:hAnsi="Arial"/>
          <w:kern w:val="0"/>
          <w:sz w:val="20"/>
          <w:szCs w:val="20"/>
        </w:rPr>
        <w:t xml:space="preserve">r to SN-terminated split bearer, the SN can initiate the SCG activation. </w:t>
      </w:r>
      <w:r w:rsidR="00FD112E">
        <w:rPr>
          <w:rFonts w:ascii="Arial" w:hAnsi="Arial"/>
          <w:kern w:val="0"/>
          <w:sz w:val="20"/>
          <w:szCs w:val="20"/>
        </w:rPr>
        <w:t xml:space="preserve">Later, if the SN does not see a need of SCG leg or wants to deactivate the SCG </w:t>
      </w:r>
      <w:r w:rsidR="006B79BA">
        <w:rPr>
          <w:rFonts w:ascii="Arial" w:hAnsi="Arial"/>
          <w:kern w:val="0"/>
          <w:sz w:val="20"/>
          <w:szCs w:val="20"/>
        </w:rPr>
        <w:t>for some reason (e.g. overloaded)</w:t>
      </w:r>
      <w:r w:rsidR="00FD112E">
        <w:rPr>
          <w:rFonts w:ascii="Arial" w:hAnsi="Arial"/>
          <w:kern w:val="0"/>
          <w:sz w:val="20"/>
          <w:szCs w:val="20"/>
        </w:rPr>
        <w:t>, the SN can initiate the SCG deactivation.</w:t>
      </w:r>
    </w:p>
    <w:p w:rsidR="008C5547" w:rsidRDefault="008C5547" w:rsidP="00095FC9">
      <w:pPr>
        <w:widowControl/>
        <w:spacing w:after="120" w:line="240" w:lineRule="atLeast"/>
        <w:rPr>
          <w:rFonts w:ascii="Arial" w:hAnsi="Arial"/>
          <w:kern w:val="0"/>
          <w:sz w:val="20"/>
          <w:szCs w:val="20"/>
        </w:rPr>
      </w:pPr>
      <w:r>
        <w:rPr>
          <w:rFonts w:ascii="Arial" w:hAnsi="Arial"/>
          <w:kern w:val="0"/>
          <w:sz w:val="20"/>
          <w:szCs w:val="20"/>
        </w:rPr>
        <w:t>Some example scenarios for SCG status change between activated and deactivated are shown in the table 1 below.</w:t>
      </w:r>
    </w:p>
    <w:p w:rsidR="00B4702A" w:rsidRPr="005A6DB8" w:rsidRDefault="00B4702A" w:rsidP="005A6DB8">
      <w:pPr>
        <w:widowControl/>
        <w:spacing w:after="120" w:line="240" w:lineRule="atLeast"/>
        <w:jc w:val="center"/>
        <w:rPr>
          <w:rFonts w:ascii="Arial" w:hAnsi="Arial"/>
          <w:b/>
          <w:kern w:val="0"/>
          <w:sz w:val="20"/>
          <w:szCs w:val="20"/>
        </w:rPr>
      </w:pPr>
      <w:r w:rsidRPr="005A6DB8">
        <w:rPr>
          <w:rFonts w:ascii="Arial" w:hAnsi="Arial"/>
          <w:b/>
          <w:kern w:val="0"/>
          <w:sz w:val="20"/>
          <w:szCs w:val="20"/>
        </w:rPr>
        <w:t>Table 1: Examples of SCG (de)activation trigger</w:t>
      </w:r>
    </w:p>
    <w:tbl>
      <w:tblPr>
        <w:tblStyle w:val="a7"/>
        <w:tblW w:w="9497" w:type="dxa"/>
        <w:jc w:val="center"/>
        <w:tblLook w:val="04A0" w:firstRow="1" w:lastRow="0" w:firstColumn="1" w:lastColumn="0" w:noHBand="0" w:noVBand="1"/>
      </w:tblPr>
      <w:tblGrid>
        <w:gridCol w:w="914"/>
        <w:gridCol w:w="2355"/>
        <w:gridCol w:w="4536"/>
        <w:gridCol w:w="1692"/>
      </w:tblGrid>
      <w:tr w:rsidR="00C543D6" w:rsidTr="005A6DB8">
        <w:trPr>
          <w:jc w:val="center"/>
        </w:trPr>
        <w:tc>
          <w:tcPr>
            <w:tcW w:w="914" w:type="dxa"/>
            <w:shd w:val="clear" w:color="auto" w:fill="9CC2E5" w:themeFill="accent1" w:themeFillTint="99"/>
          </w:tcPr>
          <w:p w:rsidR="004D08D6" w:rsidRPr="005A6DB8" w:rsidRDefault="004D08D6" w:rsidP="005A6DB8">
            <w:pPr>
              <w:widowControl/>
              <w:spacing w:after="120" w:line="240" w:lineRule="atLeast"/>
              <w:jc w:val="left"/>
              <w:rPr>
                <w:rFonts w:ascii="Calibri" w:hAnsi="Calibri" w:cs="Calibri"/>
                <w:kern w:val="0"/>
                <w:sz w:val="20"/>
                <w:szCs w:val="20"/>
              </w:rPr>
            </w:pPr>
            <w:r w:rsidRPr="005A6DB8">
              <w:rPr>
                <w:rFonts w:ascii="Calibri" w:hAnsi="Calibri" w:cs="Calibri"/>
                <w:kern w:val="0"/>
                <w:sz w:val="20"/>
                <w:szCs w:val="20"/>
              </w:rPr>
              <w:t>Scenario</w:t>
            </w:r>
          </w:p>
        </w:tc>
        <w:tc>
          <w:tcPr>
            <w:tcW w:w="2355" w:type="dxa"/>
            <w:shd w:val="clear" w:color="auto" w:fill="9CC2E5" w:themeFill="accent1" w:themeFillTint="99"/>
          </w:tcPr>
          <w:p w:rsidR="004D08D6" w:rsidRPr="004D08D6" w:rsidRDefault="004D08D6" w:rsidP="005A6DB8">
            <w:pPr>
              <w:widowControl/>
              <w:spacing w:after="120" w:line="240" w:lineRule="atLeast"/>
              <w:jc w:val="left"/>
              <w:rPr>
                <w:rFonts w:ascii="Calibri" w:hAnsi="Calibri" w:cs="Calibri"/>
                <w:kern w:val="0"/>
                <w:sz w:val="20"/>
                <w:szCs w:val="20"/>
              </w:rPr>
            </w:pPr>
            <w:r>
              <w:rPr>
                <w:rFonts w:ascii="Calibri" w:hAnsi="Calibri" w:cs="Calibri" w:hint="eastAsia"/>
                <w:kern w:val="0"/>
                <w:sz w:val="20"/>
                <w:szCs w:val="20"/>
              </w:rPr>
              <w:t>SCG statu</w:t>
            </w:r>
            <w:r w:rsidR="00EF48A8">
              <w:rPr>
                <w:rFonts w:ascii="Calibri" w:hAnsi="Calibri" w:cs="Calibri" w:hint="eastAsia"/>
                <w:kern w:val="0"/>
                <w:sz w:val="20"/>
                <w:szCs w:val="20"/>
              </w:rPr>
              <w:t>s</w:t>
            </w:r>
          </w:p>
        </w:tc>
        <w:tc>
          <w:tcPr>
            <w:tcW w:w="4536" w:type="dxa"/>
            <w:shd w:val="clear" w:color="auto" w:fill="9CC2E5" w:themeFill="accent1" w:themeFillTint="99"/>
          </w:tcPr>
          <w:p w:rsidR="004D08D6" w:rsidRPr="005A6DB8" w:rsidRDefault="004D08D6" w:rsidP="005A6DB8">
            <w:pPr>
              <w:widowControl/>
              <w:spacing w:after="120" w:line="240" w:lineRule="atLeast"/>
              <w:jc w:val="left"/>
              <w:rPr>
                <w:rFonts w:ascii="Calibri" w:hAnsi="Calibri" w:cs="Calibri"/>
                <w:kern w:val="0"/>
                <w:sz w:val="20"/>
                <w:szCs w:val="20"/>
              </w:rPr>
            </w:pPr>
            <w:r>
              <w:rPr>
                <w:rFonts w:ascii="Calibri" w:hAnsi="Calibri" w:cs="Calibri"/>
                <w:kern w:val="0"/>
                <w:sz w:val="20"/>
                <w:szCs w:val="20"/>
              </w:rPr>
              <w:t>Trigger</w:t>
            </w:r>
          </w:p>
        </w:tc>
        <w:tc>
          <w:tcPr>
            <w:tcW w:w="1692" w:type="dxa"/>
            <w:shd w:val="clear" w:color="auto" w:fill="9CC2E5" w:themeFill="accent1" w:themeFillTint="99"/>
          </w:tcPr>
          <w:p w:rsidR="004D08D6" w:rsidRPr="005A6DB8" w:rsidRDefault="00037B16" w:rsidP="005A6DB8">
            <w:pPr>
              <w:widowControl/>
              <w:spacing w:after="120" w:line="240" w:lineRule="atLeast"/>
              <w:jc w:val="left"/>
              <w:rPr>
                <w:rFonts w:ascii="Calibri" w:hAnsi="Calibri" w:cs="Calibri"/>
                <w:kern w:val="0"/>
                <w:sz w:val="20"/>
                <w:szCs w:val="20"/>
              </w:rPr>
            </w:pPr>
            <w:r>
              <w:rPr>
                <w:rFonts w:ascii="Calibri" w:hAnsi="Calibri" w:cs="Calibri"/>
                <w:kern w:val="0"/>
                <w:sz w:val="20"/>
                <w:szCs w:val="20"/>
              </w:rPr>
              <w:t>Initiating node</w:t>
            </w:r>
          </w:p>
        </w:tc>
      </w:tr>
      <w:tr w:rsidR="00C543D6" w:rsidTr="005A6DB8">
        <w:trPr>
          <w:jc w:val="center"/>
        </w:trPr>
        <w:tc>
          <w:tcPr>
            <w:tcW w:w="914" w:type="dxa"/>
            <w:shd w:val="clear" w:color="auto" w:fill="9CC2E5" w:themeFill="accent1" w:themeFillTint="99"/>
          </w:tcPr>
          <w:p w:rsidR="004D08D6" w:rsidRPr="005A6DB8" w:rsidRDefault="004D08D6" w:rsidP="005A6DB8">
            <w:pPr>
              <w:widowControl/>
              <w:spacing w:after="120" w:line="240" w:lineRule="atLeast"/>
              <w:jc w:val="left"/>
              <w:rPr>
                <w:rFonts w:ascii="Calibri" w:hAnsi="Calibri" w:cs="Calibri"/>
                <w:kern w:val="0"/>
                <w:sz w:val="20"/>
                <w:szCs w:val="20"/>
              </w:rPr>
            </w:pPr>
            <w:r w:rsidRPr="005A6DB8">
              <w:rPr>
                <w:rFonts w:ascii="Calibri" w:hAnsi="Calibri" w:cs="Calibri"/>
                <w:kern w:val="0"/>
                <w:sz w:val="20"/>
                <w:szCs w:val="20"/>
              </w:rPr>
              <w:t>#1</w:t>
            </w:r>
          </w:p>
        </w:tc>
        <w:tc>
          <w:tcPr>
            <w:tcW w:w="2355" w:type="dxa"/>
          </w:tcPr>
          <w:p w:rsidR="004D08D6" w:rsidRPr="004D08D6" w:rsidRDefault="004D08D6" w:rsidP="005A6DB8">
            <w:pPr>
              <w:widowControl/>
              <w:spacing w:after="120" w:line="240" w:lineRule="atLeast"/>
              <w:jc w:val="left"/>
              <w:rPr>
                <w:rFonts w:ascii="Calibri" w:hAnsi="Calibri" w:cs="Calibri"/>
                <w:kern w:val="0"/>
                <w:sz w:val="20"/>
                <w:szCs w:val="20"/>
              </w:rPr>
            </w:pPr>
            <w:r>
              <w:rPr>
                <w:rFonts w:ascii="Calibri" w:hAnsi="Calibri" w:cs="Calibri" w:hint="eastAsia"/>
                <w:kern w:val="0"/>
                <w:sz w:val="20"/>
                <w:szCs w:val="20"/>
              </w:rPr>
              <w:t>Activate</w:t>
            </w:r>
            <w:r w:rsidR="00384887">
              <w:rPr>
                <w:rFonts w:ascii="Calibri" w:hAnsi="Calibri" w:cs="Calibri"/>
                <w:kern w:val="0"/>
                <w:sz w:val="20"/>
                <w:szCs w:val="20"/>
              </w:rPr>
              <w:t>d</w:t>
            </w:r>
            <w:r>
              <w:rPr>
                <w:rFonts w:ascii="Calibri" w:hAnsi="Calibri" w:cs="Calibri"/>
                <w:kern w:val="0"/>
                <w:sz w:val="20"/>
                <w:szCs w:val="20"/>
              </w:rPr>
              <w:t xml:space="preserve"> </w:t>
            </w:r>
            <w:r w:rsidRPr="004D08D6">
              <w:rPr>
                <w:rFonts w:ascii="Calibri" w:hAnsi="Calibri" w:cs="Calibri"/>
                <w:kern w:val="0"/>
                <w:sz w:val="20"/>
                <w:szCs w:val="20"/>
              </w:rPr>
              <w:sym w:font="Wingdings" w:char="F0E0"/>
            </w:r>
            <w:r>
              <w:rPr>
                <w:rFonts w:ascii="Calibri" w:hAnsi="Calibri" w:cs="Calibri" w:hint="eastAsia"/>
                <w:kern w:val="0"/>
                <w:sz w:val="20"/>
                <w:szCs w:val="20"/>
              </w:rPr>
              <w:t xml:space="preserve"> </w:t>
            </w:r>
            <w:r>
              <w:rPr>
                <w:rFonts w:ascii="Calibri" w:hAnsi="Calibri" w:cs="Calibri"/>
                <w:kern w:val="0"/>
                <w:sz w:val="20"/>
                <w:szCs w:val="20"/>
              </w:rPr>
              <w:t>D</w:t>
            </w:r>
            <w:r>
              <w:rPr>
                <w:rFonts w:ascii="Calibri" w:hAnsi="Calibri" w:cs="Calibri" w:hint="eastAsia"/>
                <w:kern w:val="0"/>
                <w:sz w:val="20"/>
                <w:szCs w:val="20"/>
              </w:rPr>
              <w:t>eactivate</w:t>
            </w:r>
            <w:r w:rsidR="00384887">
              <w:rPr>
                <w:rFonts w:ascii="Calibri" w:hAnsi="Calibri" w:cs="Calibri"/>
                <w:kern w:val="0"/>
                <w:sz w:val="20"/>
                <w:szCs w:val="20"/>
              </w:rPr>
              <w:t>d</w:t>
            </w:r>
          </w:p>
        </w:tc>
        <w:tc>
          <w:tcPr>
            <w:tcW w:w="4536" w:type="dxa"/>
          </w:tcPr>
          <w:p w:rsidR="004D08D6" w:rsidRPr="005A6DB8" w:rsidRDefault="004D08D6" w:rsidP="005A6DB8">
            <w:pPr>
              <w:widowControl/>
              <w:spacing w:after="120" w:line="240" w:lineRule="atLeast"/>
              <w:jc w:val="left"/>
              <w:rPr>
                <w:rFonts w:ascii="Calibri" w:hAnsi="Calibri" w:cs="Calibri"/>
                <w:kern w:val="0"/>
                <w:sz w:val="20"/>
                <w:szCs w:val="20"/>
              </w:rPr>
            </w:pPr>
            <w:r>
              <w:rPr>
                <w:rFonts w:ascii="Calibri" w:hAnsi="Calibri" w:cs="Calibri" w:hint="eastAsia"/>
                <w:kern w:val="0"/>
                <w:sz w:val="20"/>
                <w:szCs w:val="20"/>
              </w:rPr>
              <w:t>No</w:t>
            </w:r>
            <w:r>
              <w:rPr>
                <w:rFonts w:ascii="Calibri" w:hAnsi="Calibri" w:cs="Calibri"/>
                <w:kern w:val="0"/>
                <w:sz w:val="20"/>
                <w:szCs w:val="20"/>
              </w:rPr>
              <w:t xml:space="preserve"> more data expected </w:t>
            </w:r>
            <w:r w:rsidR="00296D65">
              <w:rPr>
                <w:rFonts w:ascii="Calibri" w:hAnsi="Calibri" w:cs="Calibri"/>
                <w:kern w:val="0"/>
                <w:sz w:val="20"/>
                <w:szCs w:val="20"/>
              </w:rPr>
              <w:t>in</w:t>
            </w:r>
            <w:r>
              <w:rPr>
                <w:rFonts w:ascii="Calibri" w:hAnsi="Calibri" w:cs="Calibri"/>
                <w:kern w:val="0"/>
                <w:sz w:val="20"/>
                <w:szCs w:val="20"/>
              </w:rPr>
              <w:t xml:space="preserve"> SCG</w:t>
            </w:r>
            <w:r w:rsidR="00384887">
              <w:rPr>
                <w:rFonts w:ascii="Calibri" w:hAnsi="Calibri" w:cs="Calibri"/>
                <w:kern w:val="0"/>
                <w:sz w:val="20"/>
                <w:szCs w:val="20"/>
              </w:rPr>
              <w:t xml:space="preserve"> for MN terminated bearer</w:t>
            </w:r>
          </w:p>
        </w:tc>
        <w:tc>
          <w:tcPr>
            <w:tcW w:w="1692" w:type="dxa"/>
          </w:tcPr>
          <w:p w:rsidR="004D08D6" w:rsidRPr="005A6DB8" w:rsidRDefault="00384887" w:rsidP="005A6DB8">
            <w:pPr>
              <w:widowControl/>
              <w:spacing w:after="120" w:line="240" w:lineRule="atLeast"/>
              <w:jc w:val="left"/>
              <w:rPr>
                <w:rFonts w:ascii="Calibri" w:hAnsi="Calibri" w:cs="Calibri"/>
                <w:kern w:val="0"/>
                <w:sz w:val="20"/>
                <w:szCs w:val="20"/>
              </w:rPr>
            </w:pPr>
            <w:r>
              <w:rPr>
                <w:rFonts w:ascii="Calibri" w:hAnsi="Calibri" w:cs="Calibri" w:hint="eastAsia"/>
                <w:kern w:val="0"/>
                <w:sz w:val="20"/>
                <w:szCs w:val="20"/>
              </w:rPr>
              <w:t>MN</w:t>
            </w:r>
          </w:p>
        </w:tc>
      </w:tr>
      <w:tr w:rsidR="00C543D6" w:rsidTr="005A6DB8">
        <w:trPr>
          <w:jc w:val="center"/>
        </w:trPr>
        <w:tc>
          <w:tcPr>
            <w:tcW w:w="914" w:type="dxa"/>
            <w:shd w:val="clear" w:color="auto" w:fill="9CC2E5" w:themeFill="accent1" w:themeFillTint="99"/>
          </w:tcPr>
          <w:p w:rsidR="00384887" w:rsidRPr="005A6DB8" w:rsidRDefault="00384887" w:rsidP="005A6DB8">
            <w:pPr>
              <w:widowControl/>
              <w:spacing w:after="120" w:line="240" w:lineRule="atLeast"/>
              <w:jc w:val="left"/>
              <w:rPr>
                <w:rFonts w:ascii="Calibri" w:hAnsi="Calibri" w:cs="Calibri"/>
                <w:kern w:val="0"/>
                <w:sz w:val="20"/>
                <w:szCs w:val="20"/>
              </w:rPr>
            </w:pPr>
            <w:r w:rsidRPr="005A6DB8">
              <w:rPr>
                <w:rFonts w:ascii="Calibri" w:hAnsi="Calibri" w:cs="Calibri"/>
                <w:kern w:val="0"/>
                <w:sz w:val="20"/>
                <w:szCs w:val="20"/>
              </w:rPr>
              <w:t>#2</w:t>
            </w:r>
          </w:p>
        </w:tc>
        <w:tc>
          <w:tcPr>
            <w:tcW w:w="2355" w:type="dxa"/>
          </w:tcPr>
          <w:p w:rsidR="00384887" w:rsidRPr="004D08D6" w:rsidRDefault="00384887" w:rsidP="005A6DB8">
            <w:pPr>
              <w:widowControl/>
              <w:spacing w:after="120" w:line="240" w:lineRule="atLeast"/>
              <w:jc w:val="left"/>
              <w:rPr>
                <w:rFonts w:ascii="Calibri" w:hAnsi="Calibri" w:cs="Calibri"/>
                <w:kern w:val="0"/>
                <w:sz w:val="20"/>
                <w:szCs w:val="20"/>
              </w:rPr>
            </w:pPr>
            <w:r>
              <w:rPr>
                <w:rFonts w:ascii="Calibri" w:hAnsi="Calibri" w:cs="Calibri" w:hint="eastAsia"/>
                <w:kern w:val="0"/>
                <w:sz w:val="20"/>
                <w:szCs w:val="20"/>
              </w:rPr>
              <w:t>Act</w:t>
            </w:r>
            <w:r>
              <w:rPr>
                <w:rFonts w:ascii="Calibri" w:hAnsi="Calibri" w:cs="Calibri"/>
                <w:kern w:val="0"/>
                <w:sz w:val="20"/>
                <w:szCs w:val="20"/>
              </w:rPr>
              <w:t xml:space="preserve">ivated </w:t>
            </w:r>
            <w:r w:rsidRPr="00384887">
              <w:rPr>
                <w:rFonts w:ascii="Calibri" w:hAnsi="Calibri" w:cs="Calibri"/>
                <w:kern w:val="0"/>
                <w:sz w:val="20"/>
                <w:szCs w:val="20"/>
              </w:rPr>
              <w:sym w:font="Wingdings" w:char="F0E0"/>
            </w:r>
            <w:r>
              <w:rPr>
                <w:rFonts w:ascii="Calibri" w:hAnsi="Calibri" w:cs="Calibri"/>
                <w:kern w:val="0"/>
                <w:sz w:val="20"/>
                <w:szCs w:val="20"/>
              </w:rPr>
              <w:t xml:space="preserve"> Deactivated</w:t>
            </w:r>
          </w:p>
        </w:tc>
        <w:tc>
          <w:tcPr>
            <w:tcW w:w="4536" w:type="dxa"/>
          </w:tcPr>
          <w:p w:rsidR="00384887" w:rsidRPr="005A6DB8" w:rsidRDefault="00384887" w:rsidP="005A6DB8">
            <w:pPr>
              <w:widowControl/>
              <w:spacing w:after="120" w:line="240" w:lineRule="atLeast"/>
              <w:jc w:val="left"/>
              <w:rPr>
                <w:rFonts w:ascii="Calibri" w:hAnsi="Calibri" w:cs="Calibri"/>
                <w:kern w:val="0"/>
                <w:sz w:val="20"/>
                <w:szCs w:val="20"/>
              </w:rPr>
            </w:pPr>
            <w:r>
              <w:rPr>
                <w:rFonts w:ascii="Calibri" w:hAnsi="Calibri" w:cs="Calibri" w:hint="eastAsia"/>
                <w:kern w:val="0"/>
                <w:sz w:val="20"/>
                <w:szCs w:val="20"/>
              </w:rPr>
              <w:t>No</w:t>
            </w:r>
            <w:r w:rsidR="00296D65">
              <w:rPr>
                <w:rFonts w:ascii="Calibri" w:hAnsi="Calibri" w:cs="Calibri"/>
                <w:kern w:val="0"/>
                <w:sz w:val="20"/>
                <w:szCs w:val="20"/>
              </w:rPr>
              <w:t xml:space="preserve"> more data expected in</w:t>
            </w:r>
            <w:r>
              <w:rPr>
                <w:rFonts w:ascii="Calibri" w:hAnsi="Calibri" w:cs="Calibri"/>
                <w:kern w:val="0"/>
                <w:sz w:val="20"/>
                <w:szCs w:val="20"/>
              </w:rPr>
              <w:t xml:space="preserve"> SCG for SN terminated bearer</w:t>
            </w:r>
          </w:p>
        </w:tc>
        <w:tc>
          <w:tcPr>
            <w:tcW w:w="1692" w:type="dxa"/>
          </w:tcPr>
          <w:p w:rsidR="00384887" w:rsidRPr="005A6DB8" w:rsidRDefault="00384887" w:rsidP="005A6DB8">
            <w:pPr>
              <w:widowControl/>
              <w:spacing w:after="120" w:line="240" w:lineRule="atLeast"/>
              <w:jc w:val="left"/>
              <w:rPr>
                <w:rFonts w:ascii="Calibri" w:hAnsi="Calibri" w:cs="Calibri"/>
                <w:kern w:val="0"/>
                <w:sz w:val="20"/>
                <w:szCs w:val="20"/>
              </w:rPr>
            </w:pPr>
            <w:r>
              <w:rPr>
                <w:rFonts w:ascii="Calibri" w:hAnsi="Calibri" w:cs="Calibri" w:hint="eastAsia"/>
                <w:kern w:val="0"/>
                <w:sz w:val="20"/>
                <w:szCs w:val="20"/>
              </w:rPr>
              <w:t>SN</w:t>
            </w:r>
          </w:p>
        </w:tc>
      </w:tr>
      <w:tr w:rsidR="00384887" w:rsidTr="005A6DB8">
        <w:trPr>
          <w:jc w:val="center"/>
        </w:trPr>
        <w:tc>
          <w:tcPr>
            <w:tcW w:w="914" w:type="dxa"/>
            <w:shd w:val="clear" w:color="auto" w:fill="9CC2E5" w:themeFill="accent1" w:themeFillTint="99"/>
          </w:tcPr>
          <w:p w:rsidR="00384887" w:rsidRPr="004D08D6" w:rsidRDefault="00384887">
            <w:pPr>
              <w:widowControl/>
              <w:spacing w:after="120" w:line="240" w:lineRule="atLeast"/>
              <w:jc w:val="left"/>
              <w:rPr>
                <w:rFonts w:ascii="Calibri" w:hAnsi="Calibri" w:cs="Calibri"/>
                <w:kern w:val="0"/>
                <w:sz w:val="20"/>
                <w:szCs w:val="20"/>
              </w:rPr>
            </w:pPr>
            <w:r>
              <w:rPr>
                <w:rFonts w:ascii="Calibri" w:hAnsi="Calibri" w:cs="Calibri" w:hint="eastAsia"/>
                <w:kern w:val="0"/>
                <w:sz w:val="20"/>
                <w:szCs w:val="20"/>
              </w:rPr>
              <w:t>#</w:t>
            </w:r>
            <w:r>
              <w:rPr>
                <w:rFonts w:ascii="Calibri" w:hAnsi="Calibri" w:cs="Calibri"/>
                <w:kern w:val="0"/>
                <w:sz w:val="20"/>
                <w:szCs w:val="20"/>
              </w:rPr>
              <w:t>3</w:t>
            </w:r>
          </w:p>
        </w:tc>
        <w:tc>
          <w:tcPr>
            <w:tcW w:w="2355" w:type="dxa"/>
          </w:tcPr>
          <w:p w:rsidR="00384887" w:rsidRDefault="00384887" w:rsidP="00384887">
            <w:pPr>
              <w:widowControl/>
              <w:spacing w:after="120" w:line="240" w:lineRule="atLeast"/>
              <w:jc w:val="left"/>
              <w:rPr>
                <w:rFonts w:ascii="Calibri" w:hAnsi="Calibri" w:cs="Calibri"/>
                <w:kern w:val="0"/>
                <w:sz w:val="20"/>
                <w:szCs w:val="20"/>
              </w:rPr>
            </w:pPr>
            <w:r>
              <w:rPr>
                <w:rFonts w:ascii="Calibri" w:hAnsi="Calibri" w:cs="Calibri" w:hint="eastAsia"/>
                <w:kern w:val="0"/>
                <w:sz w:val="20"/>
                <w:szCs w:val="20"/>
              </w:rPr>
              <w:t>Act</w:t>
            </w:r>
            <w:r>
              <w:rPr>
                <w:rFonts w:ascii="Calibri" w:hAnsi="Calibri" w:cs="Calibri"/>
                <w:kern w:val="0"/>
                <w:sz w:val="20"/>
                <w:szCs w:val="20"/>
              </w:rPr>
              <w:t xml:space="preserve">ivated </w:t>
            </w:r>
            <w:r w:rsidRPr="00384887">
              <w:rPr>
                <w:rFonts w:ascii="Calibri" w:hAnsi="Calibri" w:cs="Calibri"/>
                <w:kern w:val="0"/>
                <w:sz w:val="20"/>
                <w:szCs w:val="20"/>
              </w:rPr>
              <w:sym w:font="Wingdings" w:char="F0E0"/>
            </w:r>
            <w:r>
              <w:rPr>
                <w:rFonts w:ascii="Calibri" w:hAnsi="Calibri" w:cs="Calibri"/>
                <w:kern w:val="0"/>
                <w:sz w:val="20"/>
                <w:szCs w:val="20"/>
              </w:rPr>
              <w:t xml:space="preserve"> Deactivated</w:t>
            </w:r>
          </w:p>
        </w:tc>
        <w:tc>
          <w:tcPr>
            <w:tcW w:w="4536" w:type="dxa"/>
          </w:tcPr>
          <w:p w:rsidR="00384887" w:rsidRDefault="00384887" w:rsidP="00384887">
            <w:pPr>
              <w:widowControl/>
              <w:spacing w:after="120" w:line="240" w:lineRule="atLeast"/>
              <w:jc w:val="left"/>
              <w:rPr>
                <w:rFonts w:ascii="Calibri" w:hAnsi="Calibri" w:cs="Calibri"/>
                <w:kern w:val="0"/>
                <w:sz w:val="20"/>
                <w:szCs w:val="20"/>
              </w:rPr>
            </w:pPr>
            <w:r>
              <w:rPr>
                <w:rFonts w:ascii="Calibri" w:hAnsi="Calibri" w:cs="Calibri"/>
                <w:kern w:val="0"/>
                <w:sz w:val="20"/>
                <w:szCs w:val="20"/>
              </w:rPr>
              <w:t>SCG is o</w:t>
            </w:r>
            <w:r>
              <w:rPr>
                <w:rFonts w:ascii="Calibri" w:hAnsi="Calibri" w:cs="Calibri" w:hint="eastAsia"/>
                <w:kern w:val="0"/>
                <w:sz w:val="20"/>
                <w:szCs w:val="20"/>
              </w:rPr>
              <w:t>verloaded</w:t>
            </w:r>
          </w:p>
        </w:tc>
        <w:tc>
          <w:tcPr>
            <w:tcW w:w="1692" w:type="dxa"/>
          </w:tcPr>
          <w:p w:rsidR="00384887" w:rsidRDefault="00384887" w:rsidP="00384887">
            <w:pPr>
              <w:widowControl/>
              <w:spacing w:after="120" w:line="240" w:lineRule="atLeast"/>
              <w:jc w:val="left"/>
              <w:rPr>
                <w:rFonts w:ascii="Calibri" w:hAnsi="Calibri" w:cs="Calibri"/>
                <w:kern w:val="0"/>
                <w:sz w:val="20"/>
                <w:szCs w:val="20"/>
              </w:rPr>
            </w:pPr>
            <w:r>
              <w:rPr>
                <w:rFonts w:ascii="Calibri" w:hAnsi="Calibri" w:cs="Calibri" w:hint="eastAsia"/>
                <w:kern w:val="0"/>
                <w:sz w:val="20"/>
                <w:szCs w:val="20"/>
              </w:rPr>
              <w:t>SN</w:t>
            </w:r>
          </w:p>
        </w:tc>
      </w:tr>
      <w:tr w:rsidR="00384887" w:rsidTr="005A6DB8">
        <w:trPr>
          <w:jc w:val="center"/>
        </w:trPr>
        <w:tc>
          <w:tcPr>
            <w:tcW w:w="914" w:type="dxa"/>
            <w:shd w:val="clear" w:color="auto" w:fill="9CC2E5" w:themeFill="accent1" w:themeFillTint="99"/>
          </w:tcPr>
          <w:p w:rsidR="00384887" w:rsidRDefault="00384887" w:rsidP="00384887">
            <w:pPr>
              <w:widowControl/>
              <w:spacing w:after="120" w:line="240" w:lineRule="atLeast"/>
              <w:jc w:val="left"/>
              <w:rPr>
                <w:rFonts w:ascii="Calibri" w:hAnsi="Calibri" w:cs="Calibri"/>
                <w:kern w:val="0"/>
                <w:sz w:val="20"/>
                <w:szCs w:val="20"/>
              </w:rPr>
            </w:pPr>
            <w:r>
              <w:rPr>
                <w:rFonts w:ascii="Calibri" w:hAnsi="Calibri" w:cs="Calibri" w:hint="eastAsia"/>
                <w:kern w:val="0"/>
                <w:sz w:val="20"/>
                <w:szCs w:val="20"/>
              </w:rPr>
              <w:t>#4</w:t>
            </w:r>
          </w:p>
        </w:tc>
        <w:tc>
          <w:tcPr>
            <w:tcW w:w="2355" w:type="dxa"/>
          </w:tcPr>
          <w:p w:rsidR="00384887" w:rsidRDefault="00384887" w:rsidP="00384887">
            <w:pPr>
              <w:widowControl/>
              <w:spacing w:after="120" w:line="240" w:lineRule="atLeast"/>
              <w:jc w:val="left"/>
              <w:rPr>
                <w:rFonts w:ascii="Calibri" w:hAnsi="Calibri" w:cs="Calibri"/>
                <w:kern w:val="0"/>
                <w:sz w:val="20"/>
                <w:szCs w:val="20"/>
              </w:rPr>
            </w:pPr>
            <w:r>
              <w:rPr>
                <w:rFonts w:ascii="Calibri" w:hAnsi="Calibri" w:cs="Calibri" w:hint="eastAsia"/>
                <w:kern w:val="0"/>
                <w:sz w:val="20"/>
                <w:szCs w:val="20"/>
              </w:rPr>
              <w:t>Deactivate</w:t>
            </w:r>
            <w:r>
              <w:rPr>
                <w:rFonts w:ascii="Calibri" w:hAnsi="Calibri" w:cs="Calibri"/>
                <w:kern w:val="0"/>
                <w:sz w:val="20"/>
                <w:szCs w:val="20"/>
              </w:rPr>
              <w:t>d</w:t>
            </w:r>
            <w:r>
              <w:rPr>
                <w:rFonts w:ascii="Calibri" w:hAnsi="Calibri" w:cs="Calibri" w:hint="eastAsia"/>
                <w:kern w:val="0"/>
                <w:sz w:val="20"/>
                <w:szCs w:val="20"/>
              </w:rPr>
              <w:t xml:space="preserve"> </w:t>
            </w:r>
            <w:r w:rsidRPr="00384887">
              <w:rPr>
                <w:rFonts w:ascii="Calibri" w:hAnsi="Calibri" w:cs="Calibri"/>
                <w:kern w:val="0"/>
                <w:sz w:val="20"/>
                <w:szCs w:val="20"/>
              </w:rPr>
              <w:sym w:font="Wingdings" w:char="F0E0"/>
            </w:r>
            <w:r>
              <w:rPr>
                <w:rFonts w:ascii="Calibri" w:hAnsi="Calibri" w:cs="Calibri"/>
                <w:kern w:val="0"/>
                <w:sz w:val="20"/>
                <w:szCs w:val="20"/>
              </w:rPr>
              <w:t xml:space="preserve"> Activated</w:t>
            </w:r>
          </w:p>
        </w:tc>
        <w:tc>
          <w:tcPr>
            <w:tcW w:w="4536" w:type="dxa"/>
          </w:tcPr>
          <w:p w:rsidR="00384887" w:rsidRDefault="0071756B" w:rsidP="00384887">
            <w:pPr>
              <w:widowControl/>
              <w:spacing w:after="120" w:line="240" w:lineRule="atLeast"/>
              <w:jc w:val="left"/>
              <w:rPr>
                <w:rFonts w:ascii="Calibri" w:hAnsi="Calibri" w:cs="Calibri"/>
                <w:kern w:val="0"/>
                <w:sz w:val="20"/>
                <w:szCs w:val="20"/>
              </w:rPr>
            </w:pPr>
            <w:r>
              <w:rPr>
                <w:rFonts w:ascii="Calibri" w:hAnsi="Calibri" w:cs="Calibri" w:hint="eastAsia"/>
                <w:kern w:val="0"/>
                <w:sz w:val="20"/>
                <w:szCs w:val="20"/>
              </w:rPr>
              <w:t xml:space="preserve">Configure </w:t>
            </w:r>
            <w:r>
              <w:rPr>
                <w:rFonts w:ascii="Calibri" w:hAnsi="Calibri" w:cs="Calibri"/>
                <w:kern w:val="0"/>
                <w:sz w:val="20"/>
                <w:szCs w:val="20"/>
              </w:rPr>
              <w:t xml:space="preserve">or change to </w:t>
            </w:r>
            <w:r>
              <w:rPr>
                <w:rFonts w:ascii="Calibri" w:hAnsi="Calibri" w:cs="Calibri" w:hint="eastAsia"/>
                <w:kern w:val="0"/>
                <w:sz w:val="20"/>
                <w:szCs w:val="20"/>
              </w:rPr>
              <w:t>SN terminated bearer</w:t>
            </w:r>
            <w:r>
              <w:rPr>
                <w:rFonts w:ascii="Calibri" w:hAnsi="Calibri" w:cs="Calibri"/>
                <w:kern w:val="0"/>
                <w:sz w:val="20"/>
                <w:szCs w:val="20"/>
              </w:rPr>
              <w:t xml:space="preserve"> involving SCG</w:t>
            </w:r>
          </w:p>
        </w:tc>
        <w:tc>
          <w:tcPr>
            <w:tcW w:w="1692" w:type="dxa"/>
          </w:tcPr>
          <w:p w:rsidR="00384887" w:rsidRDefault="0071756B" w:rsidP="00384887">
            <w:pPr>
              <w:widowControl/>
              <w:spacing w:after="120" w:line="240" w:lineRule="atLeast"/>
              <w:jc w:val="left"/>
              <w:rPr>
                <w:rFonts w:ascii="Calibri" w:hAnsi="Calibri" w:cs="Calibri"/>
                <w:kern w:val="0"/>
                <w:sz w:val="20"/>
                <w:szCs w:val="20"/>
              </w:rPr>
            </w:pPr>
            <w:r>
              <w:rPr>
                <w:rFonts w:ascii="Calibri" w:hAnsi="Calibri" w:cs="Calibri" w:hint="eastAsia"/>
                <w:kern w:val="0"/>
                <w:sz w:val="20"/>
                <w:szCs w:val="20"/>
              </w:rPr>
              <w:t>MN</w:t>
            </w:r>
          </w:p>
        </w:tc>
      </w:tr>
      <w:tr w:rsidR="007C69DE" w:rsidTr="005A6DB8">
        <w:trPr>
          <w:jc w:val="center"/>
        </w:trPr>
        <w:tc>
          <w:tcPr>
            <w:tcW w:w="914" w:type="dxa"/>
            <w:shd w:val="clear" w:color="auto" w:fill="9CC2E5" w:themeFill="accent1" w:themeFillTint="99"/>
          </w:tcPr>
          <w:p w:rsidR="007C69DE" w:rsidRDefault="007C69DE" w:rsidP="007C69DE">
            <w:pPr>
              <w:widowControl/>
              <w:spacing w:after="120" w:line="240" w:lineRule="atLeast"/>
              <w:jc w:val="left"/>
              <w:rPr>
                <w:rFonts w:ascii="Calibri" w:hAnsi="Calibri" w:cs="Calibri"/>
                <w:kern w:val="0"/>
                <w:sz w:val="20"/>
                <w:szCs w:val="20"/>
              </w:rPr>
            </w:pPr>
            <w:r>
              <w:rPr>
                <w:rFonts w:ascii="Calibri" w:hAnsi="Calibri" w:cs="Calibri" w:hint="eastAsia"/>
                <w:kern w:val="0"/>
                <w:sz w:val="20"/>
                <w:szCs w:val="20"/>
              </w:rPr>
              <w:t>#5</w:t>
            </w:r>
          </w:p>
        </w:tc>
        <w:tc>
          <w:tcPr>
            <w:tcW w:w="2355" w:type="dxa"/>
          </w:tcPr>
          <w:p w:rsidR="007C69DE" w:rsidRDefault="007C69DE" w:rsidP="007C69DE">
            <w:pPr>
              <w:widowControl/>
              <w:spacing w:after="120" w:line="240" w:lineRule="atLeast"/>
              <w:jc w:val="left"/>
              <w:rPr>
                <w:rFonts w:ascii="Calibri" w:hAnsi="Calibri" w:cs="Calibri"/>
                <w:kern w:val="0"/>
                <w:sz w:val="20"/>
                <w:szCs w:val="20"/>
              </w:rPr>
            </w:pPr>
            <w:r>
              <w:rPr>
                <w:rFonts w:ascii="Calibri" w:hAnsi="Calibri" w:cs="Calibri" w:hint="eastAsia"/>
                <w:kern w:val="0"/>
                <w:sz w:val="20"/>
                <w:szCs w:val="20"/>
              </w:rPr>
              <w:t>Deactivate</w:t>
            </w:r>
            <w:r>
              <w:rPr>
                <w:rFonts w:ascii="Calibri" w:hAnsi="Calibri" w:cs="Calibri"/>
                <w:kern w:val="0"/>
                <w:sz w:val="20"/>
                <w:szCs w:val="20"/>
              </w:rPr>
              <w:t>d</w:t>
            </w:r>
            <w:r>
              <w:rPr>
                <w:rFonts w:ascii="Calibri" w:hAnsi="Calibri" w:cs="Calibri" w:hint="eastAsia"/>
                <w:kern w:val="0"/>
                <w:sz w:val="20"/>
                <w:szCs w:val="20"/>
              </w:rPr>
              <w:t xml:space="preserve"> </w:t>
            </w:r>
            <w:r w:rsidRPr="00384887">
              <w:rPr>
                <w:rFonts w:ascii="Calibri" w:hAnsi="Calibri" w:cs="Calibri"/>
                <w:kern w:val="0"/>
                <w:sz w:val="20"/>
                <w:szCs w:val="20"/>
              </w:rPr>
              <w:sym w:font="Wingdings" w:char="F0E0"/>
            </w:r>
            <w:r>
              <w:rPr>
                <w:rFonts w:ascii="Calibri" w:hAnsi="Calibri" w:cs="Calibri"/>
                <w:kern w:val="0"/>
                <w:sz w:val="20"/>
                <w:szCs w:val="20"/>
              </w:rPr>
              <w:t xml:space="preserve"> Activated</w:t>
            </w:r>
          </w:p>
        </w:tc>
        <w:tc>
          <w:tcPr>
            <w:tcW w:w="4536" w:type="dxa"/>
          </w:tcPr>
          <w:p w:rsidR="007C69DE" w:rsidRDefault="000C3494">
            <w:pPr>
              <w:widowControl/>
              <w:spacing w:after="120" w:line="240" w:lineRule="atLeast"/>
              <w:jc w:val="left"/>
              <w:rPr>
                <w:rFonts w:ascii="Calibri" w:hAnsi="Calibri" w:cs="Calibri"/>
                <w:kern w:val="0"/>
                <w:sz w:val="20"/>
                <w:szCs w:val="20"/>
              </w:rPr>
            </w:pPr>
            <w:r>
              <w:rPr>
                <w:rFonts w:ascii="Calibri" w:hAnsi="Calibri" w:cs="Calibri"/>
                <w:kern w:val="0"/>
                <w:sz w:val="20"/>
                <w:szCs w:val="20"/>
              </w:rPr>
              <w:t>Data</w:t>
            </w:r>
            <w:r w:rsidR="007C69DE">
              <w:rPr>
                <w:rFonts w:ascii="Calibri" w:hAnsi="Calibri" w:cs="Calibri" w:hint="eastAsia"/>
                <w:kern w:val="0"/>
                <w:sz w:val="20"/>
                <w:szCs w:val="20"/>
              </w:rPr>
              <w:t xml:space="preserve"> is increasing for </w:t>
            </w:r>
            <w:r w:rsidR="007C69DE">
              <w:rPr>
                <w:rFonts w:ascii="Calibri" w:hAnsi="Calibri" w:cs="Calibri"/>
                <w:kern w:val="0"/>
                <w:sz w:val="20"/>
                <w:szCs w:val="20"/>
              </w:rPr>
              <w:t>MN</w:t>
            </w:r>
            <w:r w:rsidR="007C69DE">
              <w:rPr>
                <w:rFonts w:ascii="Calibri" w:hAnsi="Calibri" w:cs="Calibri" w:hint="eastAsia"/>
                <w:kern w:val="0"/>
                <w:sz w:val="20"/>
                <w:szCs w:val="20"/>
              </w:rPr>
              <w:t xml:space="preserve"> terminated MCG bearer</w:t>
            </w:r>
          </w:p>
        </w:tc>
        <w:tc>
          <w:tcPr>
            <w:tcW w:w="1692" w:type="dxa"/>
          </w:tcPr>
          <w:p w:rsidR="007C69DE" w:rsidRDefault="007C69DE" w:rsidP="007C69DE">
            <w:pPr>
              <w:widowControl/>
              <w:spacing w:after="120" w:line="240" w:lineRule="atLeast"/>
              <w:jc w:val="left"/>
              <w:rPr>
                <w:rFonts w:ascii="Calibri" w:hAnsi="Calibri" w:cs="Calibri"/>
                <w:kern w:val="0"/>
                <w:sz w:val="20"/>
                <w:szCs w:val="20"/>
              </w:rPr>
            </w:pPr>
            <w:r>
              <w:rPr>
                <w:rFonts w:ascii="Calibri" w:hAnsi="Calibri" w:cs="Calibri" w:hint="eastAsia"/>
                <w:kern w:val="0"/>
                <w:sz w:val="20"/>
                <w:szCs w:val="20"/>
              </w:rPr>
              <w:t>MN</w:t>
            </w:r>
          </w:p>
        </w:tc>
      </w:tr>
      <w:tr w:rsidR="007C69DE" w:rsidTr="005A6DB8">
        <w:trPr>
          <w:jc w:val="center"/>
        </w:trPr>
        <w:tc>
          <w:tcPr>
            <w:tcW w:w="914" w:type="dxa"/>
            <w:shd w:val="clear" w:color="auto" w:fill="9CC2E5" w:themeFill="accent1" w:themeFillTint="99"/>
          </w:tcPr>
          <w:p w:rsidR="007C69DE" w:rsidRDefault="007C69DE" w:rsidP="007C69DE">
            <w:pPr>
              <w:widowControl/>
              <w:spacing w:after="120" w:line="240" w:lineRule="atLeast"/>
              <w:jc w:val="left"/>
              <w:rPr>
                <w:rFonts w:ascii="Calibri" w:hAnsi="Calibri" w:cs="Calibri"/>
                <w:kern w:val="0"/>
                <w:sz w:val="20"/>
                <w:szCs w:val="20"/>
              </w:rPr>
            </w:pPr>
            <w:r>
              <w:rPr>
                <w:rFonts w:ascii="Calibri" w:hAnsi="Calibri" w:cs="Calibri" w:hint="eastAsia"/>
                <w:kern w:val="0"/>
                <w:sz w:val="20"/>
                <w:szCs w:val="20"/>
              </w:rPr>
              <w:t>#</w:t>
            </w:r>
            <w:r>
              <w:rPr>
                <w:rFonts w:ascii="Calibri" w:hAnsi="Calibri" w:cs="Calibri"/>
                <w:kern w:val="0"/>
                <w:sz w:val="20"/>
                <w:szCs w:val="20"/>
              </w:rPr>
              <w:t>6</w:t>
            </w:r>
          </w:p>
        </w:tc>
        <w:tc>
          <w:tcPr>
            <w:tcW w:w="2355" w:type="dxa"/>
          </w:tcPr>
          <w:p w:rsidR="007C69DE" w:rsidRDefault="007C69DE" w:rsidP="007C69DE">
            <w:pPr>
              <w:widowControl/>
              <w:spacing w:after="120" w:line="240" w:lineRule="atLeast"/>
              <w:jc w:val="left"/>
              <w:rPr>
                <w:rFonts w:ascii="Calibri" w:hAnsi="Calibri" w:cs="Calibri"/>
                <w:kern w:val="0"/>
                <w:sz w:val="20"/>
                <w:szCs w:val="20"/>
              </w:rPr>
            </w:pPr>
            <w:r>
              <w:rPr>
                <w:rFonts w:ascii="Calibri" w:hAnsi="Calibri" w:cs="Calibri" w:hint="eastAsia"/>
                <w:kern w:val="0"/>
                <w:sz w:val="20"/>
                <w:szCs w:val="20"/>
              </w:rPr>
              <w:t>Deactivate</w:t>
            </w:r>
            <w:r>
              <w:rPr>
                <w:rFonts w:ascii="Calibri" w:hAnsi="Calibri" w:cs="Calibri"/>
                <w:kern w:val="0"/>
                <w:sz w:val="20"/>
                <w:szCs w:val="20"/>
              </w:rPr>
              <w:t>d</w:t>
            </w:r>
            <w:r>
              <w:rPr>
                <w:rFonts w:ascii="Calibri" w:hAnsi="Calibri" w:cs="Calibri" w:hint="eastAsia"/>
                <w:kern w:val="0"/>
                <w:sz w:val="20"/>
                <w:szCs w:val="20"/>
              </w:rPr>
              <w:t xml:space="preserve"> </w:t>
            </w:r>
            <w:r w:rsidRPr="00384887">
              <w:rPr>
                <w:rFonts w:ascii="Calibri" w:hAnsi="Calibri" w:cs="Calibri"/>
                <w:kern w:val="0"/>
                <w:sz w:val="20"/>
                <w:szCs w:val="20"/>
              </w:rPr>
              <w:sym w:font="Wingdings" w:char="F0E0"/>
            </w:r>
            <w:r>
              <w:rPr>
                <w:rFonts w:ascii="Calibri" w:hAnsi="Calibri" w:cs="Calibri"/>
                <w:kern w:val="0"/>
                <w:sz w:val="20"/>
                <w:szCs w:val="20"/>
              </w:rPr>
              <w:t xml:space="preserve"> Activated</w:t>
            </w:r>
          </w:p>
        </w:tc>
        <w:tc>
          <w:tcPr>
            <w:tcW w:w="4536" w:type="dxa"/>
          </w:tcPr>
          <w:p w:rsidR="007C69DE" w:rsidRDefault="000C3494" w:rsidP="007C69DE">
            <w:pPr>
              <w:widowControl/>
              <w:spacing w:after="120" w:line="240" w:lineRule="atLeast"/>
              <w:jc w:val="left"/>
              <w:rPr>
                <w:rFonts w:ascii="Calibri" w:hAnsi="Calibri" w:cs="Calibri"/>
                <w:kern w:val="0"/>
                <w:sz w:val="20"/>
                <w:szCs w:val="20"/>
              </w:rPr>
            </w:pPr>
            <w:r>
              <w:rPr>
                <w:rFonts w:ascii="Calibri" w:hAnsi="Calibri" w:cs="Calibri"/>
                <w:kern w:val="0"/>
                <w:sz w:val="20"/>
                <w:szCs w:val="20"/>
              </w:rPr>
              <w:t>Data</w:t>
            </w:r>
            <w:r w:rsidR="007C69DE">
              <w:rPr>
                <w:rFonts w:ascii="Calibri" w:hAnsi="Calibri" w:cs="Calibri" w:hint="eastAsia"/>
                <w:kern w:val="0"/>
                <w:sz w:val="20"/>
                <w:szCs w:val="20"/>
              </w:rPr>
              <w:t xml:space="preserve"> is increasing for SN terminated MCG bearer</w:t>
            </w:r>
          </w:p>
        </w:tc>
        <w:tc>
          <w:tcPr>
            <w:tcW w:w="1692" w:type="dxa"/>
          </w:tcPr>
          <w:p w:rsidR="007C69DE" w:rsidRDefault="007C69DE" w:rsidP="007C69DE">
            <w:pPr>
              <w:widowControl/>
              <w:spacing w:after="120" w:line="240" w:lineRule="atLeast"/>
              <w:jc w:val="left"/>
              <w:rPr>
                <w:rFonts w:ascii="Calibri" w:hAnsi="Calibri" w:cs="Calibri"/>
                <w:kern w:val="0"/>
                <w:sz w:val="20"/>
                <w:szCs w:val="20"/>
              </w:rPr>
            </w:pPr>
            <w:r>
              <w:rPr>
                <w:rFonts w:ascii="Calibri" w:hAnsi="Calibri" w:cs="Calibri" w:hint="eastAsia"/>
                <w:kern w:val="0"/>
                <w:sz w:val="20"/>
                <w:szCs w:val="20"/>
              </w:rPr>
              <w:t>SN</w:t>
            </w:r>
          </w:p>
        </w:tc>
      </w:tr>
      <w:tr w:rsidR="007C69DE" w:rsidTr="005A6DB8">
        <w:trPr>
          <w:jc w:val="center"/>
        </w:trPr>
        <w:tc>
          <w:tcPr>
            <w:tcW w:w="914" w:type="dxa"/>
            <w:shd w:val="clear" w:color="auto" w:fill="9CC2E5" w:themeFill="accent1" w:themeFillTint="99"/>
          </w:tcPr>
          <w:p w:rsidR="007C69DE" w:rsidRDefault="007C69DE" w:rsidP="007C69DE">
            <w:pPr>
              <w:widowControl/>
              <w:spacing w:after="120" w:line="240" w:lineRule="atLeast"/>
              <w:jc w:val="left"/>
              <w:rPr>
                <w:rFonts w:ascii="Calibri" w:hAnsi="Calibri" w:cs="Calibri"/>
                <w:kern w:val="0"/>
                <w:sz w:val="20"/>
                <w:szCs w:val="20"/>
              </w:rPr>
            </w:pPr>
            <w:r>
              <w:rPr>
                <w:rFonts w:ascii="Calibri" w:hAnsi="Calibri" w:cs="Calibri" w:hint="eastAsia"/>
                <w:kern w:val="0"/>
                <w:sz w:val="20"/>
                <w:szCs w:val="20"/>
              </w:rPr>
              <w:t>#7</w:t>
            </w:r>
          </w:p>
        </w:tc>
        <w:tc>
          <w:tcPr>
            <w:tcW w:w="2355" w:type="dxa"/>
          </w:tcPr>
          <w:p w:rsidR="007C69DE" w:rsidRDefault="007C69DE" w:rsidP="007C69DE">
            <w:pPr>
              <w:widowControl/>
              <w:spacing w:after="120" w:line="240" w:lineRule="atLeast"/>
              <w:jc w:val="left"/>
              <w:rPr>
                <w:rFonts w:ascii="Calibri" w:hAnsi="Calibri" w:cs="Calibri"/>
                <w:kern w:val="0"/>
                <w:sz w:val="20"/>
                <w:szCs w:val="20"/>
              </w:rPr>
            </w:pPr>
            <w:r>
              <w:rPr>
                <w:rFonts w:ascii="Calibri" w:hAnsi="Calibri" w:cs="Calibri" w:hint="eastAsia"/>
                <w:kern w:val="0"/>
                <w:sz w:val="20"/>
                <w:szCs w:val="20"/>
              </w:rPr>
              <w:t>Deactivate</w:t>
            </w:r>
            <w:r>
              <w:rPr>
                <w:rFonts w:ascii="Calibri" w:hAnsi="Calibri" w:cs="Calibri"/>
                <w:kern w:val="0"/>
                <w:sz w:val="20"/>
                <w:szCs w:val="20"/>
              </w:rPr>
              <w:t>d</w:t>
            </w:r>
            <w:r>
              <w:rPr>
                <w:rFonts w:ascii="Calibri" w:hAnsi="Calibri" w:cs="Calibri" w:hint="eastAsia"/>
                <w:kern w:val="0"/>
                <w:sz w:val="20"/>
                <w:szCs w:val="20"/>
              </w:rPr>
              <w:t xml:space="preserve"> </w:t>
            </w:r>
            <w:r w:rsidRPr="00384887">
              <w:rPr>
                <w:rFonts w:ascii="Calibri" w:hAnsi="Calibri" w:cs="Calibri"/>
                <w:kern w:val="0"/>
                <w:sz w:val="20"/>
                <w:szCs w:val="20"/>
              </w:rPr>
              <w:sym w:font="Wingdings" w:char="F0E0"/>
            </w:r>
            <w:r>
              <w:rPr>
                <w:rFonts w:ascii="Calibri" w:hAnsi="Calibri" w:cs="Calibri"/>
                <w:kern w:val="0"/>
                <w:sz w:val="20"/>
                <w:szCs w:val="20"/>
              </w:rPr>
              <w:t xml:space="preserve"> Activated</w:t>
            </w:r>
          </w:p>
        </w:tc>
        <w:tc>
          <w:tcPr>
            <w:tcW w:w="4536" w:type="dxa"/>
          </w:tcPr>
          <w:p w:rsidR="007C69DE" w:rsidRDefault="007C69DE" w:rsidP="007C69DE">
            <w:pPr>
              <w:widowControl/>
              <w:spacing w:after="120" w:line="240" w:lineRule="atLeast"/>
              <w:jc w:val="left"/>
              <w:rPr>
                <w:rFonts w:ascii="Calibri" w:hAnsi="Calibri" w:cs="Calibri"/>
                <w:kern w:val="0"/>
                <w:sz w:val="20"/>
                <w:szCs w:val="20"/>
              </w:rPr>
            </w:pPr>
            <w:r>
              <w:rPr>
                <w:rFonts w:ascii="Calibri" w:hAnsi="Calibri" w:cs="Calibri" w:hint="eastAsia"/>
                <w:kern w:val="0"/>
                <w:sz w:val="20"/>
                <w:szCs w:val="20"/>
              </w:rPr>
              <w:t>SCG overload is relieved/resolved</w:t>
            </w:r>
          </w:p>
        </w:tc>
        <w:tc>
          <w:tcPr>
            <w:tcW w:w="1692" w:type="dxa"/>
          </w:tcPr>
          <w:p w:rsidR="007C69DE" w:rsidRDefault="007C69DE" w:rsidP="007C69DE">
            <w:pPr>
              <w:widowControl/>
              <w:spacing w:after="120" w:line="240" w:lineRule="atLeast"/>
              <w:jc w:val="left"/>
              <w:rPr>
                <w:rFonts w:ascii="Calibri" w:hAnsi="Calibri" w:cs="Calibri"/>
                <w:kern w:val="0"/>
                <w:sz w:val="20"/>
                <w:szCs w:val="20"/>
              </w:rPr>
            </w:pPr>
            <w:r>
              <w:rPr>
                <w:rFonts w:ascii="Calibri" w:hAnsi="Calibri" w:cs="Calibri" w:hint="eastAsia"/>
                <w:kern w:val="0"/>
                <w:sz w:val="20"/>
                <w:szCs w:val="20"/>
              </w:rPr>
              <w:t>SN</w:t>
            </w:r>
          </w:p>
        </w:tc>
      </w:tr>
    </w:tbl>
    <w:p w:rsidR="004D08D6" w:rsidRDefault="004D08D6" w:rsidP="00095FC9">
      <w:pPr>
        <w:widowControl/>
        <w:spacing w:after="120" w:line="240" w:lineRule="atLeast"/>
        <w:rPr>
          <w:rFonts w:ascii="Arial" w:hAnsi="Arial"/>
          <w:kern w:val="0"/>
          <w:sz w:val="20"/>
          <w:szCs w:val="20"/>
        </w:rPr>
      </w:pPr>
    </w:p>
    <w:p w:rsidR="00864D94" w:rsidRDefault="003D6098" w:rsidP="00095FC9">
      <w:pPr>
        <w:widowControl/>
        <w:spacing w:after="120" w:line="240" w:lineRule="atLeast"/>
        <w:rPr>
          <w:rFonts w:ascii="Arial" w:hAnsi="Arial"/>
          <w:kern w:val="0"/>
          <w:sz w:val="20"/>
          <w:szCs w:val="20"/>
        </w:rPr>
      </w:pPr>
      <w:r>
        <w:rPr>
          <w:rFonts w:ascii="Arial" w:hAnsi="Arial" w:hint="eastAsia"/>
          <w:kern w:val="0"/>
          <w:sz w:val="20"/>
          <w:szCs w:val="20"/>
        </w:rPr>
        <w:t xml:space="preserve">On the other hand, </w:t>
      </w:r>
      <w:r w:rsidR="007D2D21">
        <w:rPr>
          <w:rFonts w:ascii="Arial" w:hAnsi="Arial"/>
          <w:kern w:val="0"/>
          <w:sz w:val="20"/>
          <w:szCs w:val="20"/>
        </w:rPr>
        <w:t>as for other MN-SN interaction, the final decision should be</w:t>
      </w:r>
      <w:r>
        <w:rPr>
          <w:rFonts w:ascii="Arial" w:hAnsi="Arial"/>
          <w:kern w:val="0"/>
          <w:sz w:val="20"/>
          <w:szCs w:val="20"/>
        </w:rPr>
        <w:t xml:space="preserve"> made</w:t>
      </w:r>
      <w:r w:rsidR="007D2D21">
        <w:rPr>
          <w:rFonts w:ascii="Arial" w:hAnsi="Arial"/>
          <w:kern w:val="0"/>
          <w:sz w:val="20"/>
          <w:szCs w:val="20"/>
        </w:rPr>
        <w:t xml:space="preserve"> by the MN.</w:t>
      </w:r>
      <w:r>
        <w:rPr>
          <w:rFonts w:ascii="Arial" w:hAnsi="Arial"/>
          <w:kern w:val="0"/>
          <w:sz w:val="20"/>
          <w:szCs w:val="20"/>
        </w:rPr>
        <w:t xml:space="preserve"> </w:t>
      </w:r>
      <w:r w:rsidR="007D2D21">
        <w:rPr>
          <w:rFonts w:ascii="Arial" w:hAnsi="Arial"/>
          <w:kern w:val="0"/>
          <w:sz w:val="20"/>
          <w:szCs w:val="20"/>
        </w:rPr>
        <w:t xml:space="preserve">Nevertheless, </w:t>
      </w:r>
      <w:r w:rsidR="002A0968">
        <w:rPr>
          <w:rFonts w:ascii="Arial" w:hAnsi="Arial"/>
          <w:kern w:val="0"/>
          <w:sz w:val="20"/>
          <w:szCs w:val="20"/>
        </w:rPr>
        <w:t>the SN should be also allowed not to accept the request in some case</w:t>
      </w:r>
      <w:r w:rsidR="00F27C4A">
        <w:rPr>
          <w:rFonts w:ascii="Arial" w:hAnsi="Arial"/>
          <w:kern w:val="0"/>
          <w:sz w:val="20"/>
          <w:szCs w:val="20"/>
        </w:rPr>
        <w:t>s. For example,</w:t>
      </w:r>
      <w:r w:rsidR="002A0968">
        <w:rPr>
          <w:rFonts w:ascii="Arial" w:hAnsi="Arial"/>
          <w:kern w:val="0"/>
          <w:sz w:val="20"/>
          <w:szCs w:val="20"/>
        </w:rPr>
        <w:t xml:space="preserve"> </w:t>
      </w:r>
      <w:r w:rsidR="00F27C4A">
        <w:rPr>
          <w:rFonts w:ascii="Arial" w:hAnsi="Arial"/>
          <w:kern w:val="0"/>
          <w:sz w:val="20"/>
          <w:szCs w:val="20"/>
        </w:rPr>
        <w:t>the SN may reject the SCG deactivation request from the MN due to ongoing data transmission or possible activities in the SCG.</w:t>
      </w:r>
      <w:r w:rsidR="005A34D2">
        <w:rPr>
          <w:rFonts w:ascii="Arial" w:hAnsi="Arial"/>
          <w:kern w:val="0"/>
          <w:sz w:val="20"/>
          <w:szCs w:val="20"/>
        </w:rPr>
        <w:t xml:space="preserve"> This may happen due to less coordination over X2/Xn</w:t>
      </w:r>
      <w:r w:rsidR="009822B7">
        <w:rPr>
          <w:rFonts w:ascii="Arial" w:hAnsi="Arial"/>
          <w:kern w:val="0"/>
          <w:sz w:val="20"/>
          <w:szCs w:val="20"/>
        </w:rPr>
        <w:t xml:space="preserve"> </w:t>
      </w:r>
      <w:r w:rsidR="000064AF">
        <w:rPr>
          <w:rFonts w:ascii="Arial" w:hAnsi="Arial"/>
          <w:kern w:val="0"/>
          <w:sz w:val="20"/>
          <w:szCs w:val="20"/>
        </w:rPr>
        <w:t>for the SCG activit</w:t>
      </w:r>
      <w:r w:rsidR="009822B7">
        <w:rPr>
          <w:rFonts w:ascii="Arial" w:hAnsi="Arial"/>
          <w:kern w:val="0"/>
          <w:sz w:val="20"/>
          <w:szCs w:val="20"/>
        </w:rPr>
        <w:t>y</w:t>
      </w:r>
      <w:r w:rsidR="000064AF">
        <w:rPr>
          <w:rFonts w:ascii="Arial" w:hAnsi="Arial"/>
          <w:kern w:val="0"/>
          <w:sz w:val="20"/>
          <w:szCs w:val="20"/>
        </w:rPr>
        <w:t xml:space="preserve"> (e.g. Activity Notification being discussed in RAN3)</w:t>
      </w:r>
      <w:r w:rsidR="005A34D2">
        <w:rPr>
          <w:rFonts w:ascii="Arial" w:hAnsi="Arial"/>
          <w:kern w:val="0"/>
          <w:sz w:val="20"/>
          <w:szCs w:val="20"/>
        </w:rPr>
        <w:t>.</w:t>
      </w:r>
    </w:p>
    <w:p w:rsidR="00095FC9" w:rsidRPr="002C6C08" w:rsidRDefault="00095FC9" w:rsidP="00095FC9">
      <w:pPr>
        <w:widowControl/>
        <w:spacing w:after="120" w:line="240" w:lineRule="atLeast"/>
        <w:rPr>
          <w:rFonts w:ascii="Arial" w:hAnsi="Arial"/>
          <w:kern w:val="0"/>
          <w:sz w:val="20"/>
          <w:szCs w:val="20"/>
        </w:rPr>
      </w:pPr>
    </w:p>
    <w:p w:rsidR="00095FC9" w:rsidRPr="002C6C08" w:rsidRDefault="00156CAF" w:rsidP="00095FC9">
      <w:pPr>
        <w:widowControl/>
        <w:spacing w:before="60" w:after="120" w:line="240" w:lineRule="atLeast"/>
        <w:rPr>
          <w:rFonts w:ascii="Arial" w:hAnsi="Arial"/>
          <w:b/>
          <w:kern w:val="0"/>
          <w:sz w:val="20"/>
          <w:szCs w:val="20"/>
        </w:rPr>
      </w:pPr>
      <w:r>
        <w:rPr>
          <w:rFonts w:ascii="Arial" w:hAnsi="Arial" w:hint="eastAsia"/>
          <w:b/>
          <w:kern w:val="0"/>
          <w:sz w:val="20"/>
          <w:szCs w:val="20"/>
        </w:rPr>
        <w:t>Proposal 1</w:t>
      </w:r>
      <w:r w:rsidR="00095FC9" w:rsidRPr="002C6C08">
        <w:rPr>
          <w:rFonts w:ascii="Arial" w:hAnsi="Arial" w:hint="eastAsia"/>
          <w:b/>
          <w:kern w:val="0"/>
          <w:sz w:val="20"/>
          <w:szCs w:val="20"/>
        </w:rPr>
        <w:t xml:space="preserve">: </w:t>
      </w:r>
      <w:r w:rsidR="00165C09">
        <w:rPr>
          <w:rFonts w:ascii="Arial" w:hAnsi="Arial"/>
          <w:b/>
          <w:kern w:val="0"/>
          <w:sz w:val="20"/>
          <w:szCs w:val="20"/>
        </w:rPr>
        <w:t>RAN2 to agree that bo</w:t>
      </w:r>
      <w:r w:rsidR="00B960D0">
        <w:rPr>
          <w:rFonts w:ascii="Arial" w:hAnsi="Arial"/>
          <w:b/>
          <w:kern w:val="0"/>
          <w:sz w:val="20"/>
          <w:szCs w:val="20"/>
        </w:rPr>
        <w:t>th the MN and the SN can initiate</w:t>
      </w:r>
      <w:r w:rsidR="00165C09">
        <w:rPr>
          <w:rFonts w:ascii="Arial" w:hAnsi="Arial"/>
          <w:b/>
          <w:kern w:val="0"/>
          <w:sz w:val="20"/>
          <w:szCs w:val="20"/>
        </w:rPr>
        <w:t xml:space="preserve"> SCG (de)activation, while the final decision is made by the MN.</w:t>
      </w:r>
    </w:p>
    <w:p w:rsidR="000A59B4" w:rsidRPr="000A59B4" w:rsidRDefault="000A59B4" w:rsidP="00165C09">
      <w:pPr>
        <w:widowControl/>
        <w:spacing w:before="60" w:after="120" w:line="240" w:lineRule="atLeast"/>
        <w:rPr>
          <w:rFonts w:ascii="Arial" w:hAnsi="Arial"/>
          <w:kern w:val="0"/>
          <w:sz w:val="20"/>
          <w:szCs w:val="20"/>
        </w:rPr>
      </w:pPr>
    </w:p>
    <w:p w:rsidR="000A59B4" w:rsidRDefault="000A59B4" w:rsidP="00165C09">
      <w:pPr>
        <w:widowControl/>
        <w:spacing w:before="60" w:after="120" w:line="240" w:lineRule="atLeast"/>
        <w:rPr>
          <w:rFonts w:ascii="Arial" w:hAnsi="Arial"/>
          <w:kern w:val="0"/>
          <w:sz w:val="20"/>
          <w:szCs w:val="20"/>
        </w:rPr>
      </w:pPr>
      <w:r>
        <w:rPr>
          <w:rFonts w:ascii="Arial" w:hAnsi="Arial" w:hint="eastAsia"/>
          <w:kern w:val="0"/>
          <w:sz w:val="20"/>
          <w:szCs w:val="20"/>
        </w:rPr>
        <w:t>According to RAN3#110e Chairman notes</w:t>
      </w:r>
      <w:r>
        <w:rPr>
          <w:rFonts w:ascii="Arial" w:hAnsi="Arial"/>
          <w:kern w:val="0"/>
          <w:sz w:val="20"/>
          <w:szCs w:val="20"/>
        </w:rPr>
        <w:t xml:space="preserve"> [</w:t>
      </w:r>
      <w:r w:rsidR="008713E9">
        <w:rPr>
          <w:rFonts w:ascii="Arial" w:hAnsi="Arial"/>
          <w:kern w:val="0"/>
          <w:sz w:val="20"/>
          <w:szCs w:val="20"/>
        </w:rPr>
        <w:t>3</w:t>
      </w:r>
      <w:r>
        <w:rPr>
          <w:rFonts w:ascii="Arial" w:hAnsi="Arial"/>
          <w:kern w:val="0"/>
          <w:sz w:val="20"/>
          <w:szCs w:val="20"/>
        </w:rPr>
        <w:t>]</w:t>
      </w:r>
      <w:r>
        <w:rPr>
          <w:rFonts w:ascii="Arial" w:hAnsi="Arial" w:hint="eastAsia"/>
          <w:kern w:val="0"/>
          <w:sz w:val="20"/>
          <w:szCs w:val="20"/>
        </w:rPr>
        <w:t xml:space="preserve">, </w:t>
      </w:r>
      <w:r>
        <w:rPr>
          <w:rFonts w:ascii="Arial" w:hAnsi="Arial"/>
          <w:kern w:val="0"/>
          <w:sz w:val="20"/>
          <w:szCs w:val="20"/>
        </w:rPr>
        <w:t>RAN3 is waiting for RAN2 progress on whether SN can initiate SCG (de)activation or not. It</w:t>
      </w:r>
      <w:r w:rsidR="00383575">
        <w:rPr>
          <w:rFonts w:ascii="Arial" w:hAnsi="Arial"/>
          <w:kern w:val="0"/>
          <w:sz w:val="20"/>
          <w:szCs w:val="20"/>
        </w:rPr>
        <w:t xml:space="preserve"> may or may not be good to send an LS to RAN3 to inform the agreements on this matter.</w:t>
      </w:r>
    </w:p>
    <w:tbl>
      <w:tblPr>
        <w:tblStyle w:val="a7"/>
        <w:tblW w:w="0" w:type="auto"/>
        <w:tblLook w:val="04A0" w:firstRow="1" w:lastRow="0" w:firstColumn="1" w:lastColumn="0" w:noHBand="0" w:noVBand="1"/>
      </w:tblPr>
      <w:tblGrid>
        <w:gridCol w:w="9629"/>
      </w:tblGrid>
      <w:tr w:rsidR="000A59B4" w:rsidTr="000A59B4">
        <w:tc>
          <w:tcPr>
            <w:tcW w:w="9629" w:type="dxa"/>
          </w:tcPr>
          <w:p w:rsidR="000A59B4" w:rsidRPr="000A59B4" w:rsidRDefault="000A59B4" w:rsidP="000A59B4">
            <w:pPr>
              <w:suppressAutoHyphens/>
              <w:spacing w:line="276" w:lineRule="auto"/>
              <w:ind w:left="144" w:hanging="144"/>
              <w:jc w:val="left"/>
              <w:rPr>
                <w:rFonts w:ascii="Calibri" w:eastAsia="SimSun" w:hAnsi="Calibri" w:cs="Calibri"/>
                <w:color w:val="000000"/>
                <w:kern w:val="0"/>
                <w:sz w:val="18"/>
                <w:highlight w:val="yellow"/>
                <w:lang w:val="en-US" w:eastAsia="zh-CN"/>
              </w:rPr>
            </w:pPr>
            <w:r w:rsidRPr="000A59B4">
              <w:rPr>
                <w:rFonts w:ascii="Calibri" w:eastAsia="SimSun" w:hAnsi="Calibri" w:cs="Calibri"/>
                <w:color w:val="000000"/>
                <w:kern w:val="0"/>
                <w:sz w:val="18"/>
                <w:highlight w:val="yellow"/>
                <w:lang w:val="en-US" w:eastAsia="zh-CN"/>
              </w:rPr>
              <w:t>The following is FFS pending on RAN2 progress for the SN initiated SCG (de)activation</w:t>
            </w:r>
          </w:p>
          <w:p w:rsidR="000A59B4" w:rsidRPr="000A59B4" w:rsidRDefault="000A59B4" w:rsidP="000A59B4">
            <w:pPr>
              <w:suppressAutoHyphens/>
              <w:spacing w:line="276" w:lineRule="auto"/>
              <w:ind w:left="144" w:hanging="144"/>
              <w:jc w:val="left"/>
              <w:rPr>
                <w:rFonts w:ascii="Calibri" w:eastAsia="SimSun" w:hAnsi="Calibri" w:cs="Calibri"/>
                <w:color w:val="000000"/>
                <w:kern w:val="0"/>
                <w:sz w:val="18"/>
                <w:highlight w:val="yellow"/>
                <w:lang w:eastAsia="zh-CN"/>
              </w:rPr>
            </w:pPr>
            <w:r w:rsidRPr="000A59B4">
              <w:rPr>
                <w:rFonts w:ascii="Calibri" w:eastAsia="SimSun" w:hAnsi="Calibri" w:cs="Calibri"/>
                <w:color w:val="000000"/>
                <w:kern w:val="0"/>
                <w:sz w:val="18"/>
                <w:highlight w:val="yellow"/>
                <w:lang w:eastAsia="zh-CN"/>
              </w:rPr>
              <w:t>FFS: Whether SN initiated SCG (de)activation is allowed for support of SCG (de)activation (i.e., whether SN is allowed to (de)activate SCG).</w:t>
            </w:r>
          </w:p>
        </w:tc>
      </w:tr>
    </w:tbl>
    <w:p w:rsidR="000A59B4" w:rsidRPr="000A59B4" w:rsidRDefault="000A59B4" w:rsidP="00165C09">
      <w:pPr>
        <w:widowControl/>
        <w:spacing w:before="60" w:after="120" w:line="240" w:lineRule="atLeast"/>
        <w:rPr>
          <w:rFonts w:ascii="Arial" w:hAnsi="Arial"/>
          <w:kern w:val="0"/>
          <w:sz w:val="20"/>
          <w:szCs w:val="20"/>
        </w:rPr>
      </w:pPr>
    </w:p>
    <w:p w:rsidR="00165C09" w:rsidRPr="002C6C08" w:rsidRDefault="00156CAF" w:rsidP="00165C09">
      <w:pPr>
        <w:widowControl/>
        <w:spacing w:before="60" w:after="120" w:line="240" w:lineRule="atLeast"/>
        <w:rPr>
          <w:rFonts w:ascii="Arial" w:hAnsi="Arial"/>
          <w:b/>
          <w:kern w:val="0"/>
          <w:sz w:val="20"/>
          <w:szCs w:val="20"/>
        </w:rPr>
      </w:pPr>
      <w:r>
        <w:rPr>
          <w:rFonts w:ascii="Arial" w:hAnsi="Arial" w:hint="eastAsia"/>
          <w:b/>
          <w:kern w:val="0"/>
          <w:sz w:val="20"/>
          <w:szCs w:val="20"/>
        </w:rPr>
        <w:t>Proposal 2</w:t>
      </w:r>
      <w:r w:rsidR="00165C09" w:rsidRPr="002C6C08">
        <w:rPr>
          <w:rFonts w:ascii="Arial" w:hAnsi="Arial" w:hint="eastAsia"/>
          <w:b/>
          <w:kern w:val="0"/>
          <w:sz w:val="20"/>
          <w:szCs w:val="20"/>
        </w:rPr>
        <w:t xml:space="preserve">: </w:t>
      </w:r>
      <w:r w:rsidR="00165C09">
        <w:rPr>
          <w:rFonts w:ascii="Arial" w:hAnsi="Arial"/>
          <w:b/>
          <w:kern w:val="0"/>
          <w:sz w:val="20"/>
          <w:szCs w:val="20"/>
        </w:rPr>
        <w:t xml:space="preserve">RAN2 to </w:t>
      </w:r>
      <w:r w:rsidR="00B850E7">
        <w:rPr>
          <w:rFonts w:ascii="Arial" w:hAnsi="Arial"/>
          <w:b/>
          <w:kern w:val="0"/>
          <w:sz w:val="20"/>
          <w:szCs w:val="20"/>
        </w:rPr>
        <w:t xml:space="preserve">discuss a need of </w:t>
      </w:r>
      <w:r w:rsidR="00165C09">
        <w:rPr>
          <w:rFonts w:ascii="Arial" w:hAnsi="Arial"/>
          <w:b/>
          <w:kern w:val="0"/>
          <w:sz w:val="20"/>
          <w:szCs w:val="20"/>
        </w:rPr>
        <w:t xml:space="preserve">an LS to RAN3 to inform the agreement on </w:t>
      </w:r>
      <w:r w:rsidR="00B960D0">
        <w:rPr>
          <w:rFonts w:ascii="Arial" w:hAnsi="Arial"/>
          <w:b/>
          <w:kern w:val="0"/>
          <w:sz w:val="20"/>
          <w:szCs w:val="20"/>
        </w:rPr>
        <w:t>SCG (de)activation initiation</w:t>
      </w:r>
      <w:r w:rsidR="000A59B4">
        <w:rPr>
          <w:rFonts w:ascii="Arial" w:hAnsi="Arial"/>
          <w:b/>
          <w:kern w:val="0"/>
          <w:sz w:val="20"/>
          <w:szCs w:val="20"/>
        </w:rPr>
        <w:t xml:space="preserve"> and possibly others related to RAN3 scope.</w:t>
      </w:r>
    </w:p>
    <w:p w:rsidR="003E16F6" w:rsidRPr="002C6C08" w:rsidRDefault="003E16F6"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FB236E">
        <w:rPr>
          <w:rFonts w:ascii="Arial" w:eastAsia="Arial Unicode MS" w:hAnsi="Arial"/>
          <w:kern w:val="0"/>
          <w:sz w:val="20"/>
          <w:szCs w:val="20"/>
        </w:rPr>
        <w:t>the SCG (de)activation initiation and made the following proposals.</w:t>
      </w:r>
    </w:p>
    <w:p w:rsidR="003E16F6" w:rsidRPr="002C6C08" w:rsidRDefault="003E16F6" w:rsidP="003E16F6">
      <w:pPr>
        <w:widowControl/>
        <w:spacing w:line="240" w:lineRule="atLeast"/>
        <w:rPr>
          <w:rFonts w:ascii="Arial" w:eastAsia="Arial Unicode MS" w:hAnsi="Arial"/>
          <w:kern w:val="0"/>
          <w:sz w:val="20"/>
          <w:szCs w:val="20"/>
        </w:rPr>
      </w:pPr>
    </w:p>
    <w:p w:rsidR="00B95809" w:rsidRPr="002C6C08" w:rsidRDefault="00B95809" w:rsidP="00B95809">
      <w:pPr>
        <w:widowControl/>
        <w:spacing w:before="60" w:after="120" w:line="240" w:lineRule="atLeast"/>
        <w:rPr>
          <w:rFonts w:ascii="Arial" w:hAnsi="Arial"/>
          <w:b/>
          <w:kern w:val="0"/>
          <w:sz w:val="20"/>
          <w:szCs w:val="20"/>
        </w:rPr>
      </w:pPr>
      <w:r>
        <w:rPr>
          <w:rFonts w:ascii="Arial" w:hAnsi="Arial" w:hint="eastAsia"/>
          <w:b/>
          <w:kern w:val="0"/>
          <w:sz w:val="20"/>
          <w:szCs w:val="20"/>
        </w:rPr>
        <w:t>Proposal 1</w:t>
      </w:r>
      <w:r w:rsidRPr="002C6C08">
        <w:rPr>
          <w:rFonts w:ascii="Arial" w:hAnsi="Arial" w:hint="eastAsia"/>
          <w:b/>
          <w:kern w:val="0"/>
          <w:sz w:val="20"/>
          <w:szCs w:val="20"/>
        </w:rPr>
        <w:t xml:space="preserve">: </w:t>
      </w:r>
      <w:r>
        <w:rPr>
          <w:rFonts w:ascii="Arial" w:hAnsi="Arial"/>
          <w:b/>
          <w:kern w:val="0"/>
          <w:sz w:val="20"/>
          <w:szCs w:val="20"/>
        </w:rPr>
        <w:t>RAN2 to agree that both the MN and the SN can initiate SCG (de)activation, while the final decision is made by the MN.</w:t>
      </w:r>
    </w:p>
    <w:p w:rsidR="003E16F6" w:rsidRPr="002C6C08" w:rsidRDefault="00B95809" w:rsidP="005A6DB8">
      <w:pPr>
        <w:widowControl/>
        <w:spacing w:before="60" w:after="120" w:line="240" w:lineRule="atLeast"/>
        <w:rPr>
          <w:rFonts w:ascii="Arial" w:hAnsi="Arial"/>
          <w:b/>
          <w:kern w:val="0"/>
          <w:sz w:val="20"/>
          <w:szCs w:val="20"/>
        </w:rPr>
      </w:pPr>
      <w:r>
        <w:rPr>
          <w:rFonts w:ascii="Arial" w:hAnsi="Arial" w:hint="eastAsia"/>
          <w:b/>
          <w:kern w:val="0"/>
          <w:sz w:val="20"/>
          <w:szCs w:val="20"/>
        </w:rPr>
        <w:t>Proposal 2</w:t>
      </w:r>
      <w:r w:rsidRPr="002C6C08">
        <w:rPr>
          <w:rFonts w:ascii="Arial" w:hAnsi="Arial" w:hint="eastAsia"/>
          <w:b/>
          <w:kern w:val="0"/>
          <w:sz w:val="20"/>
          <w:szCs w:val="20"/>
        </w:rPr>
        <w:t xml:space="preserve">: </w:t>
      </w:r>
      <w:r>
        <w:rPr>
          <w:rFonts w:ascii="Arial" w:hAnsi="Arial"/>
          <w:b/>
          <w:kern w:val="0"/>
          <w:sz w:val="20"/>
          <w:szCs w:val="20"/>
        </w:rPr>
        <w:t>RAN2 to discuss a need of an LS to RAN3 to inform the agreement on SCG (de)activation initiation and possibly others related to RAN3 scope.</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AD6E10"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AD6E10">
        <w:rPr>
          <w:rFonts w:ascii="Arial" w:eastAsia="Arial Unicode MS" w:hAnsi="Arial"/>
          <w:kern w:val="0"/>
          <w:sz w:val="20"/>
          <w:szCs w:val="20"/>
        </w:rPr>
        <w:t>R2-2010701, “</w:t>
      </w:r>
      <w:r w:rsidR="00AD6E10" w:rsidRPr="00AD6E10">
        <w:rPr>
          <w:rFonts w:ascii="Arial" w:eastAsia="Arial Unicode MS" w:hAnsi="Arial"/>
          <w:kern w:val="0"/>
          <w:sz w:val="20"/>
          <w:szCs w:val="20"/>
        </w:rPr>
        <w:t>Report on LTE legacy, Mobility, DCCA, Multi-SIM and RAN slicing</w:t>
      </w:r>
      <w:r w:rsidR="00AD6E10">
        <w:rPr>
          <w:rFonts w:ascii="Arial" w:eastAsia="Arial Unicode MS" w:hAnsi="Arial"/>
          <w:kern w:val="0"/>
          <w:sz w:val="20"/>
          <w:szCs w:val="20"/>
        </w:rPr>
        <w:t>”</w:t>
      </w:r>
    </w:p>
    <w:p w:rsidR="008713E9" w:rsidRPr="002C6C08" w:rsidRDefault="008713E9" w:rsidP="003E16F6">
      <w:pPr>
        <w:widowControl/>
        <w:adjustRightInd w:val="0"/>
        <w:spacing w:line="240" w:lineRule="atLeast"/>
        <w:jc w:val="left"/>
        <w:rPr>
          <w:rFonts w:ascii="Arial" w:eastAsia="Arial Unicode MS" w:hAnsi="Arial"/>
          <w:kern w:val="0"/>
          <w:sz w:val="20"/>
          <w:szCs w:val="20"/>
        </w:rPr>
      </w:pPr>
      <w:r w:rsidRPr="00436858">
        <w:rPr>
          <w:rFonts w:ascii="Arial" w:eastAsia="Arial Unicode MS" w:hAnsi="Arial"/>
          <w:kern w:val="0"/>
          <w:sz w:val="20"/>
          <w:szCs w:val="20"/>
        </w:rPr>
        <w:t>[2] R2-</w:t>
      </w:r>
      <w:r w:rsidR="00167CEF" w:rsidRPr="00AD5CF1">
        <w:rPr>
          <w:rFonts w:ascii="Arial" w:eastAsia="Arial Unicode MS" w:hAnsi="Arial"/>
          <w:kern w:val="0"/>
          <w:sz w:val="20"/>
          <w:szCs w:val="20"/>
        </w:rPr>
        <w:t>2100640</w:t>
      </w:r>
      <w:r w:rsidRPr="00436858">
        <w:rPr>
          <w:rFonts w:ascii="Arial" w:eastAsia="Arial Unicode MS" w:hAnsi="Arial"/>
          <w:kern w:val="0"/>
          <w:sz w:val="20"/>
          <w:szCs w:val="20"/>
        </w:rPr>
        <w:t>, NEC</w:t>
      </w:r>
    </w:p>
    <w:p w:rsidR="003E16F6" w:rsidRPr="002C6C08" w:rsidRDefault="00686295"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sidR="008713E9">
        <w:rPr>
          <w:rFonts w:ascii="Arial" w:eastAsia="Arial Unicode MS" w:hAnsi="Arial"/>
          <w:kern w:val="0"/>
          <w:sz w:val="20"/>
          <w:szCs w:val="20"/>
        </w:rPr>
        <w:t>3</w:t>
      </w:r>
      <w:r>
        <w:rPr>
          <w:rFonts w:ascii="Arial" w:eastAsia="Arial Unicode MS" w:hAnsi="Arial" w:hint="eastAsia"/>
          <w:kern w:val="0"/>
          <w:sz w:val="20"/>
          <w:szCs w:val="20"/>
        </w:rPr>
        <w:t>] RAN3#110e, Chairman notes (EOM)</w:t>
      </w:r>
    </w:p>
    <w:p w:rsidR="003E16F6" w:rsidRPr="00C47038" w:rsidRDefault="00C47038" w:rsidP="00C47038">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hint="eastAsia"/>
          <w:kern w:val="0"/>
          <w:sz w:val="32"/>
          <w:szCs w:val="20"/>
        </w:rPr>
        <w:t>Annex for reference</w:t>
      </w:r>
    </w:p>
    <w:p w:rsidR="003E16F6" w:rsidRDefault="003E16F6" w:rsidP="003E16F6">
      <w:pPr>
        <w:widowControl/>
        <w:adjustRightInd w:val="0"/>
        <w:spacing w:line="240" w:lineRule="atLeast"/>
        <w:jc w:val="left"/>
        <w:rPr>
          <w:rFonts w:ascii="Arial" w:eastAsia="Arial Unicode MS" w:hAnsi="Arial"/>
          <w:kern w:val="0"/>
          <w:sz w:val="20"/>
          <w:szCs w:val="20"/>
        </w:rPr>
      </w:pPr>
    </w:p>
    <w:p w:rsidR="00C47038" w:rsidRDefault="00C47038"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Agreements in RAN2#112e [1].</w:t>
      </w:r>
    </w:p>
    <w:p w:rsidR="00C47038" w:rsidRDefault="00C47038" w:rsidP="003E16F6">
      <w:pPr>
        <w:widowControl/>
        <w:adjustRightInd w:val="0"/>
        <w:spacing w:line="240" w:lineRule="atLeast"/>
        <w:jc w:val="left"/>
        <w:rPr>
          <w:rFonts w:ascii="Arial" w:eastAsia="Arial Unicode MS" w:hAnsi="Arial"/>
          <w:kern w:val="0"/>
          <w:sz w:val="20"/>
          <w:szCs w:val="20"/>
        </w:rPr>
      </w:pPr>
    </w:p>
    <w:p w:rsidR="00C47038" w:rsidRPr="00DB4EFC" w:rsidRDefault="00C47038" w:rsidP="00C47038">
      <w:pPr>
        <w:pStyle w:val="Doc-text2"/>
        <w:pBdr>
          <w:top w:val="single" w:sz="4" w:space="1" w:color="auto"/>
          <w:left w:val="single" w:sz="4" w:space="1" w:color="auto"/>
          <w:bottom w:val="single" w:sz="4" w:space="1" w:color="auto"/>
          <w:right w:val="single" w:sz="4" w:space="1" w:color="auto"/>
        </w:pBdr>
        <w:rPr>
          <w:b/>
          <w:bCs/>
        </w:rPr>
      </w:pPr>
      <w:r w:rsidRPr="00DB4EFC">
        <w:rPr>
          <w:b/>
          <w:bCs/>
        </w:rPr>
        <w:t>Agreements</w:t>
      </w:r>
    </w:p>
    <w:p w:rsidR="00C47038" w:rsidRPr="00B14C40" w:rsidRDefault="00C47038" w:rsidP="00C47038">
      <w:pPr>
        <w:pStyle w:val="Agreement"/>
        <w:pBdr>
          <w:top w:val="single" w:sz="4" w:space="1" w:color="auto"/>
          <w:left w:val="single" w:sz="4" w:space="1" w:color="auto"/>
          <w:bottom w:val="single" w:sz="4" w:space="1" w:color="auto"/>
          <w:right w:val="single" w:sz="4" w:space="1" w:color="auto"/>
        </w:pBdr>
      </w:pPr>
      <w:r w:rsidRPr="00B14C40">
        <w:t>The work will focus on a single deactivated SCG.</w:t>
      </w:r>
    </w:p>
    <w:p w:rsidR="00C47038" w:rsidRPr="00616BF6" w:rsidRDefault="00C47038" w:rsidP="00C47038">
      <w:pPr>
        <w:pStyle w:val="Agreement"/>
        <w:pBdr>
          <w:top w:val="single" w:sz="4" w:space="1" w:color="auto"/>
          <w:left w:val="single" w:sz="4" w:space="1" w:color="auto"/>
          <w:bottom w:val="single" w:sz="4" w:space="1" w:color="auto"/>
          <w:right w:val="single" w:sz="4" w:space="1" w:color="auto"/>
        </w:pBdr>
      </w:pPr>
      <w:r w:rsidRPr="006D07FA">
        <w:rPr>
          <w:highlight w:val="lightGray"/>
        </w:rPr>
        <w:t>FFS if SCG RRC reconfiguration can select the SCG activation state (activated/deactivated) at PSCell addition/change, RRC resume or HO.</w:t>
      </w:r>
      <w:r>
        <w:rPr>
          <w:highlight w:val="lightGray"/>
        </w:rPr>
        <w:br/>
      </w:r>
      <w:r w:rsidR="00616BF6" w:rsidRPr="00616BF6">
        <w:rPr>
          <w:rFonts w:ascii="Calibri" w:eastAsia="游ゴシック" w:hAnsi="Calibri" w:cs="Calibri"/>
          <w:b w:val="0"/>
          <w:i/>
          <w:color w:val="FF0000"/>
          <w:lang w:eastAsia="ja-JP"/>
        </w:rPr>
        <w:t># this was confirmed as the agreement below</w:t>
      </w:r>
    </w:p>
    <w:p w:rsidR="00C47038" w:rsidRPr="00616BF6" w:rsidRDefault="00C47038" w:rsidP="00C47038">
      <w:pPr>
        <w:pStyle w:val="Agreement"/>
        <w:pBdr>
          <w:top w:val="single" w:sz="4" w:space="1" w:color="auto"/>
          <w:left w:val="single" w:sz="4" w:space="1" w:color="auto"/>
          <w:bottom w:val="single" w:sz="4" w:space="1" w:color="auto"/>
          <w:right w:val="single" w:sz="4" w:space="1" w:color="auto"/>
        </w:pBdr>
      </w:pPr>
      <w:r w:rsidRPr="00616BF6">
        <w:t>Continue RAN2 work with the assumption that when the SCG is deactivated, the UE does not monitor PDCCH on the PSCell. This assumption can be reconsidered if issues are found.</w:t>
      </w:r>
    </w:p>
    <w:p w:rsidR="00C47038" w:rsidRPr="00616BF6" w:rsidRDefault="00C47038" w:rsidP="00C47038">
      <w:pPr>
        <w:pStyle w:val="Agreement"/>
        <w:pBdr>
          <w:top w:val="single" w:sz="4" w:space="1" w:color="auto"/>
          <w:left w:val="single" w:sz="4" w:space="1" w:color="auto"/>
          <w:bottom w:val="single" w:sz="4" w:space="1" w:color="auto"/>
          <w:right w:val="single" w:sz="4" w:space="1" w:color="auto"/>
        </w:pBdr>
      </w:pPr>
      <w:r w:rsidRPr="00616BF6">
        <w:t>As a baseline, MN-configured RRM measurement/reporting procedures do not depend on the SCG activation state (deactivated or activated). Further optimisations are not precluded.</w:t>
      </w:r>
    </w:p>
    <w:p w:rsidR="00C47038" w:rsidRPr="00616BF6" w:rsidRDefault="00C47038" w:rsidP="00C47038">
      <w:pPr>
        <w:pStyle w:val="Agreement"/>
        <w:pBdr>
          <w:top w:val="single" w:sz="4" w:space="1" w:color="auto"/>
          <w:left w:val="single" w:sz="4" w:space="1" w:color="auto"/>
          <w:bottom w:val="single" w:sz="4" w:space="1" w:color="auto"/>
          <w:right w:val="single" w:sz="4" w:space="1" w:color="auto"/>
        </w:pBdr>
      </w:pPr>
      <w:r w:rsidRPr="00616BF6">
        <w:t xml:space="preserve">While the SCG is deactivated, PSCell mobility is supported. MN- and SN-configured measurements are supported for deactivated SCG. </w:t>
      </w:r>
    </w:p>
    <w:p w:rsidR="00C47038" w:rsidRPr="00616BF6" w:rsidRDefault="00C47038" w:rsidP="00C47038">
      <w:pPr>
        <w:pStyle w:val="Agreement"/>
        <w:pBdr>
          <w:top w:val="single" w:sz="4" w:space="1" w:color="auto"/>
          <w:left w:val="single" w:sz="4" w:space="1" w:color="auto"/>
          <w:bottom w:val="single" w:sz="4" w:space="1" w:color="auto"/>
          <w:right w:val="single" w:sz="4" w:space="1" w:color="auto"/>
        </w:pBdr>
      </w:pPr>
      <w:r w:rsidRPr="00616BF6">
        <w:t>FFS1: Details on the performed measurements (e.g. all SN configured measurements or subset based on certain criteria, restrictions on inter-frequency/RAT)</w:t>
      </w:r>
    </w:p>
    <w:p w:rsidR="00C47038" w:rsidRPr="00616BF6" w:rsidRDefault="00C47038" w:rsidP="00C47038">
      <w:pPr>
        <w:pStyle w:val="Agreement"/>
        <w:pBdr>
          <w:top w:val="single" w:sz="4" w:space="1" w:color="auto"/>
          <w:left w:val="single" w:sz="4" w:space="1" w:color="auto"/>
          <w:bottom w:val="single" w:sz="4" w:space="1" w:color="auto"/>
          <w:right w:val="single" w:sz="4" w:space="1" w:color="auto"/>
        </w:pBdr>
      </w:pPr>
      <w:r w:rsidRPr="00616BF6">
        <w:t>FFS2: Support for SCell addition/mobility</w:t>
      </w:r>
    </w:p>
    <w:p w:rsidR="00C47038" w:rsidRPr="00616BF6" w:rsidRDefault="00C47038" w:rsidP="00C47038">
      <w:pPr>
        <w:pStyle w:val="Agreement"/>
        <w:pBdr>
          <w:top w:val="single" w:sz="4" w:space="1" w:color="auto"/>
          <w:left w:val="single" w:sz="4" w:space="1" w:color="auto"/>
          <w:bottom w:val="single" w:sz="4" w:space="1" w:color="auto"/>
          <w:right w:val="single" w:sz="4" w:space="1" w:color="auto"/>
        </w:pBdr>
      </w:pPr>
      <w:r w:rsidRPr="00616BF6">
        <w:lastRenderedPageBreak/>
        <w:t>FFS3: Reporting procedure</w:t>
      </w:r>
    </w:p>
    <w:p w:rsidR="00C47038" w:rsidRPr="00616BF6" w:rsidRDefault="00C47038" w:rsidP="00C47038">
      <w:pPr>
        <w:pStyle w:val="Agreement"/>
        <w:pBdr>
          <w:top w:val="single" w:sz="4" w:space="1" w:color="auto"/>
          <w:left w:val="single" w:sz="4" w:space="1" w:color="auto"/>
          <w:bottom w:val="single" w:sz="4" w:space="1" w:color="auto"/>
          <w:right w:val="single" w:sz="4" w:space="1" w:color="auto"/>
        </w:pBdr>
      </w:pPr>
      <w:r w:rsidRPr="00616BF6">
        <w:t>FF</w:t>
      </w:r>
      <w:r w:rsidR="00BE7B33">
        <w:t>S</w:t>
      </w:r>
      <w:r w:rsidRPr="00616BF6">
        <w:t>4: PSCell mobility procedure</w:t>
      </w:r>
    </w:p>
    <w:p w:rsidR="00C47038" w:rsidRPr="00616BF6" w:rsidRDefault="00C47038" w:rsidP="00C47038">
      <w:pPr>
        <w:pStyle w:val="Agreement"/>
        <w:pBdr>
          <w:top w:val="single" w:sz="4" w:space="1" w:color="auto"/>
          <w:left w:val="single" w:sz="4" w:space="1" w:color="auto"/>
          <w:bottom w:val="single" w:sz="4" w:space="1" w:color="auto"/>
          <w:right w:val="single" w:sz="4" w:space="1" w:color="auto"/>
        </w:pBdr>
      </w:pPr>
      <w:r w:rsidRPr="00616BF6">
        <w:t>RAN2 assumes that UE will not perform SRS transmission while the SCG is deactivated. This assumption can be reconsidered if issues are found.</w:t>
      </w:r>
    </w:p>
    <w:p w:rsidR="00C47038" w:rsidRPr="00616BF6" w:rsidRDefault="00C47038" w:rsidP="00C47038">
      <w:pPr>
        <w:pStyle w:val="Agreement"/>
        <w:pBdr>
          <w:top w:val="single" w:sz="4" w:space="1" w:color="auto"/>
          <w:left w:val="single" w:sz="4" w:space="1" w:color="auto"/>
          <w:bottom w:val="single" w:sz="4" w:space="1" w:color="auto"/>
          <w:right w:val="single" w:sz="4" w:space="1" w:color="auto"/>
        </w:pBdr>
        <w:rPr>
          <w:i/>
          <w:iCs/>
        </w:rPr>
      </w:pPr>
      <w:r w:rsidRPr="00616BF6">
        <w:t>FFS if RACH is needed for SCG reactivation</w:t>
      </w:r>
    </w:p>
    <w:p w:rsidR="00C47038" w:rsidRPr="00616BF6" w:rsidRDefault="00C47038" w:rsidP="003E16F6">
      <w:pPr>
        <w:widowControl/>
        <w:adjustRightInd w:val="0"/>
        <w:spacing w:line="240" w:lineRule="atLeast"/>
        <w:jc w:val="left"/>
        <w:rPr>
          <w:rFonts w:ascii="Arial" w:eastAsia="Arial Unicode MS" w:hAnsi="Arial"/>
          <w:kern w:val="0"/>
          <w:sz w:val="20"/>
          <w:szCs w:val="20"/>
        </w:rPr>
      </w:pPr>
    </w:p>
    <w:p w:rsidR="00C47038" w:rsidRPr="00C47038" w:rsidRDefault="00C47038" w:rsidP="00C47038">
      <w:pPr>
        <w:widowControl/>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ＭＳ 明朝" w:hAnsi="Arial" w:cs="Times New Roman"/>
          <w:b/>
          <w:kern w:val="0"/>
          <w:sz w:val="20"/>
          <w:szCs w:val="24"/>
          <w:lang w:eastAsia="en-GB"/>
        </w:rPr>
      </w:pPr>
      <w:r w:rsidRPr="00C47038">
        <w:rPr>
          <w:rFonts w:ascii="Arial" w:eastAsia="ＭＳ 明朝" w:hAnsi="Arial" w:cs="Times New Roman"/>
          <w:b/>
          <w:kern w:val="0"/>
          <w:sz w:val="20"/>
          <w:szCs w:val="24"/>
          <w:lang w:eastAsia="en-GB"/>
        </w:rPr>
        <w:t>1</w:t>
      </w:r>
      <w:r w:rsidRPr="00C47038">
        <w:rPr>
          <w:rFonts w:ascii="Arial" w:eastAsia="ＭＳ 明朝" w:hAnsi="Arial" w:cs="Times New Roman"/>
          <w:b/>
          <w:kern w:val="0"/>
          <w:sz w:val="20"/>
          <w:szCs w:val="24"/>
          <w:lang w:eastAsia="en-GB"/>
        </w:rPr>
        <w:tab/>
        <w:t>SCG RRC reconfiguration can select the SCG activation state (activated/deactivated) at PSCell addition/change, RRC resume or HO.</w:t>
      </w:r>
    </w:p>
    <w:p w:rsidR="00C47038" w:rsidRPr="00A12EE1" w:rsidRDefault="00C47038" w:rsidP="00C47038">
      <w:pPr>
        <w:pStyle w:val="Agreement"/>
        <w:rPr>
          <w:rFonts w:eastAsiaTheme="minorEastAsia"/>
        </w:rPr>
      </w:pPr>
      <w:bookmarkStart w:id="2" w:name="_Hlk56180172"/>
      <w:r>
        <w:t xml:space="preserve">After the session closed, Samsung commented offline that the agreement 1 is not clear and its intention was as follows: </w:t>
      </w:r>
    </w:p>
    <w:p w:rsidR="00C47038" w:rsidRPr="00136C0D" w:rsidRDefault="00C47038" w:rsidP="00C47038">
      <w:pPr>
        <w:pStyle w:val="Agreement"/>
        <w:numPr>
          <w:ilvl w:val="0"/>
          <w:numId w:val="0"/>
        </w:numPr>
        <w:ind w:left="1619"/>
        <w:rPr>
          <w:i/>
          <w:iCs/>
        </w:rPr>
      </w:pPr>
      <w:r w:rsidRPr="00136C0D">
        <w:rPr>
          <w:i/>
          <w:iCs/>
        </w:rPr>
        <w:t xml:space="preserve">1       </w:t>
      </w:r>
      <w:r w:rsidRPr="00136C0D">
        <w:rPr>
          <w:i/>
          <w:iCs/>
          <w:strike/>
          <w:color w:val="FF0000"/>
        </w:rPr>
        <w:t>SCG RRC reconfiguration can select the</w:t>
      </w:r>
      <w:r w:rsidRPr="00136C0D">
        <w:rPr>
          <w:i/>
          <w:iCs/>
          <w:color w:val="FF0000"/>
        </w:rPr>
        <w:t xml:space="preserve"> </w:t>
      </w:r>
      <w:r w:rsidRPr="00136C0D">
        <w:rPr>
          <w:i/>
          <w:iCs/>
        </w:rPr>
        <w:t xml:space="preserve">SCG activation state (activated/deactivated) </w:t>
      </w:r>
      <w:r w:rsidRPr="00136C0D">
        <w:rPr>
          <w:i/>
          <w:iCs/>
          <w:color w:val="FF0000"/>
          <w:u w:val="single"/>
        </w:rPr>
        <w:t>can be configured</w:t>
      </w:r>
      <w:r w:rsidRPr="00136C0D">
        <w:rPr>
          <w:i/>
          <w:iCs/>
          <w:color w:val="FF0000"/>
        </w:rPr>
        <w:t xml:space="preserve"> </w:t>
      </w:r>
      <w:r w:rsidRPr="00136C0D">
        <w:rPr>
          <w:i/>
          <w:iCs/>
        </w:rPr>
        <w:t>at PSCell addition/change, RRC resume or HO.</w:t>
      </w:r>
    </w:p>
    <w:p w:rsidR="00C47038" w:rsidRPr="00A12EE1" w:rsidRDefault="00C47038" w:rsidP="00C47038">
      <w:pPr>
        <w:pStyle w:val="Agreement"/>
        <w:rPr>
          <w:rFonts w:eastAsiaTheme="minorEastAsia"/>
        </w:rPr>
      </w:pPr>
      <w:r>
        <w:t xml:space="preserve">The WI rapporteur (Huawei) indicated this was the intention, so this wording is recommended to clarify the meaning of the original agreement 1 above. </w:t>
      </w:r>
    </w:p>
    <w:bookmarkEnd w:id="2"/>
    <w:p w:rsidR="00C47038" w:rsidRPr="002C6C08" w:rsidRDefault="00C47038" w:rsidP="003E16F6">
      <w:pPr>
        <w:widowControl/>
        <w:adjustRightInd w:val="0"/>
        <w:spacing w:line="240" w:lineRule="atLeast"/>
        <w:jc w:val="left"/>
        <w:rPr>
          <w:rFonts w:ascii="Arial" w:eastAsia="Arial Unicode MS" w:hAnsi="Arial"/>
          <w:kern w:val="0"/>
          <w:sz w:val="20"/>
          <w:szCs w:val="20"/>
        </w:rPr>
      </w:pPr>
    </w:p>
    <w:p w:rsidR="00C47038" w:rsidRPr="009E5616" w:rsidRDefault="00C47038" w:rsidP="00C47038">
      <w:pPr>
        <w:pStyle w:val="Doc-text2"/>
        <w:rPr>
          <w:b/>
          <w:bCs/>
        </w:rPr>
      </w:pPr>
      <w:r w:rsidRPr="009E5616">
        <w:rPr>
          <w:b/>
          <w:bCs/>
        </w:rPr>
        <w:t>Bulk agreement</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5: When the SCG is in deactivated state, the UE sends MeasurementReport messages for measurement results of SN-configured measurements embedded in the E-UTRA (if the MCG is EUTRA) or in the NR (if the MCG is NR) ULInformationTransferMRDC message via SRB1</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6a: When the SCG is in deactivated state, the UE can receive an SCG RRCReconfiguration message embedded in an MCG RRC(Connection)Reconfiguration message on SRB1, like when the SCG is activated, and then the UE</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 processes the SCG RRCReconfiguration message according to Rel-15/16 procedures (FFS if any restriction/difference)</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 sends an SCG RRCReconfigurationComplete message in the MCG RRC(Connection)ReconfigurationComplete message according to Rel-15/16 procedures</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6b: The SCG RRCReconfiguration can change the PSCell.  FFS if the UE does RACH towards the target PSCell, in that case.</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7a: While the SCG is deactivated:</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 there can be SCG SCells in deactivated state</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 there cannot be SCG SCells in activated state</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 it is FFS whether there can be SCells in SCG dormant state.</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7b: FFS whether SCell can be added/reconfigured/released while the SCG is deactivated or this can be done only at SCG activation or after SCG activation.</w:t>
      </w:r>
    </w:p>
    <w:p w:rsidR="00C47038" w:rsidRPr="009E5616"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8a: It is FFS whether the network can configure the UE stop certain configured RRM measurements while the SCG is deactivated, or can release certain RRM measurements at SCG deactivation.</w:t>
      </w:r>
    </w:p>
    <w:p w:rsidR="00C47038" w:rsidRDefault="00C47038" w:rsidP="00C47038">
      <w:pPr>
        <w:pStyle w:val="Doc-text2"/>
        <w:pBdr>
          <w:top w:val="single" w:sz="4" w:space="1" w:color="auto"/>
          <w:left w:val="single" w:sz="4" w:space="4" w:color="auto"/>
          <w:bottom w:val="single" w:sz="4" w:space="1" w:color="auto"/>
          <w:right w:val="single" w:sz="4" w:space="4" w:color="auto"/>
        </w:pBdr>
        <w:rPr>
          <w:b/>
          <w:bCs/>
        </w:rPr>
      </w:pPr>
      <w:r w:rsidRPr="009E5616">
        <w:rPr>
          <w:b/>
          <w:bCs/>
        </w:rPr>
        <w:t>8b: Relaxation of RRM measurement requirements (as compared with non-DRX activated cell requirements) while the SCG is deactivated is FFS.</w:t>
      </w:r>
      <w:r w:rsidR="005E7494">
        <w:rPr>
          <w:b/>
          <w:bCs/>
        </w:rPr>
        <w:t xml:space="preserve"> </w:t>
      </w:r>
    </w:p>
    <w:p w:rsidR="003E16F6" w:rsidRPr="002C6C08" w:rsidRDefault="003E16F6" w:rsidP="003E16F6"/>
    <w:p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3BEC" w:rsidRDefault="00743BEC" w:rsidP="005F4664">
      <w:r>
        <w:separator/>
      </w:r>
    </w:p>
  </w:endnote>
  <w:endnote w:type="continuationSeparator" w:id="0">
    <w:p w:rsidR="00743BEC" w:rsidRDefault="00743BEC"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3BEC" w:rsidRDefault="00743BEC" w:rsidP="005F4664">
      <w:r>
        <w:separator/>
      </w:r>
    </w:p>
  </w:footnote>
  <w:footnote w:type="continuationSeparator" w:id="0">
    <w:p w:rsidR="00743BEC" w:rsidRDefault="00743BEC"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64AF"/>
    <w:rsid w:val="00037B16"/>
    <w:rsid w:val="00094D82"/>
    <w:rsid w:val="00095FC9"/>
    <w:rsid w:val="000A024E"/>
    <w:rsid w:val="000A59B4"/>
    <w:rsid w:val="000C3494"/>
    <w:rsid w:val="000D7E4E"/>
    <w:rsid w:val="00156CAF"/>
    <w:rsid w:val="00165C09"/>
    <w:rsid w:val="00167CEF"/>
    <w:rsid w:val="001745AA"/>
    <w:rsid w:val="001B7F7E"/>
    <w:rsid w:val="001D6661"/>
    <w:rsid w:val="001E0B43"/>
    <w:rsid w:val="0029092C"/>
    <w:rsid w:val="00291D81"/>
    <w:rsid w:val="00296D65"/>
    <w:rsid w:val="00297E8B"/>
    <w:rsid w:val="002A0968"/>
    <w:rsid w:val="002A7B1A"/>
    <w:rsid w:val="002B3642"/>
    <w:rsid w:val="002E4305"/>
    <w:rsid w:val="00360EBA"/>
    <w:rsid w:val="00383575"/>
    <w:rsid w:val="00384887"/>
    <w:rsid w:val="00391CBE"/>
    <w:rsid w:val="003C391C"/>
    <w:rsid w:val="003D6098"/>
    <w:rsid w:val="003E16F6"/>
    <w:rsid w:val="003E6F6F"/>
    <w:rsid w:val="00405286"/>
    <w:rsid w:val="00417F09"/>
    <w:rsid w:val="00436858"/>
    <w:rsid w:val="00485574"/>
    <w:rsid w:val="004D08D6"/>
    <w:rsid w:val="004D0B78"/>
    <w:rsid w:val="004D7A40"/>
    <w:rsid w:val="004F0F43"/>
    <w:rsid w:val="004F3742"/>
    <w:rsid w:val="005A34D2"/>
    <w:rsid w:val="005A6DB8"/>
    <w:rsid w:val="005E7494"/>
    <w:rsid w:val="005F4664"/>
    <w:rsid w:val="006010B7"/>
    <w:rsid w:val="006038AF"/>
    <w:rsid w:val="00616BF6"/>
    <w:rsid w:val="00686295"/>
    <w:rsid w:val="006B79BA"/>
    <w:rsid w:val="006D5DB9"/>
    <w:rsid w:val="006F1C23"/>
    <w:rsid w:val="00717247"/>
    <w:rsid w:val="0071756B"/>
    <w:rsid w:val="007365B0"/>
    <w:rsid w:val="00737970"/>
    <w:rsid w:val="007427BB"/>
    <w:rsid w:val="00743BEC"/>
    <w:rsid w:val="00766C98"/>
    <w:rsid w:val="007C69DE"/>
    <w:rsid w:val="007D2D21"/>
    <w:rsid w:val="007E4FEB"/>
    <w:rsid w:val="00810EE9"/>
    <w:rsid w:val="008119EA"/>
    <w:rsid w:val="00864D94"/>
    <w:rsid w:val="008713E9"/>
    <w:rsid w:val="008C5547"/>
    <w:rsid w:val="008D7675"/>
    <w:rsid w:val="009668AF"/>
    <w:rsid w:val="009822B7"/>
    <w:rsid w:val="009A406E"/>
    <w:rsid w:val="009F2C92"/>
    <w:rsid w:val="00A91389"/>
    <w:rsid w:val="00AD5CF1"/>
    <w:rsid w:val="00AD6E10"/>
    <w:rsid w:val="00AE7AA1"/>
    <w:rsid w:val="00AF4FDB"/>
    <w:rsid w:val="00B014C3"/>
    <w:rsid w:val="00B26B13"/>
    <w:rsid w:val="00B4702A"/>
    <w:rsid w:val="00B850E7"/>
    <w:rsid w:val="00B95809"/>
    <w:rsid w:val="00B960D0"/>
    <w:rsid w:val="00B9710E"/>
    <w:rsid w:val="00BC4323"/>
    <w:rsid w:val="00BE7B33"/>
    <w:rsid w:val="00BF427E"/>
    <w:rsid w:val="00C0446E"/>
    <w:rsid w:val="00C0670F"/>
    <w:rsid w:val="00C47038"/>
    <w:rsid w:val="00C543D6"/>
    <w:rsid w:val="00C56971"/>
    <w:rsid w:val="00CA2020"/>
    <w:rsid w:val="00CC199C"/>
    <w:rsid w:val="00D53D7A"/>
    <w:rsid w:val="00D723C1"/>
    <w:rsid w:val="00D74BFB"/>
    <w:rsid w:val="00D80CE3"/>
    <w:rsid w:val="00DD18B3"/>
    <w:rsid w:val="00E32A9C"/>
    <w:rsid w:val="00E443DA"/>
    <w:rsid w:val="00E70956"/>
    <w:rsid w:val="00E864B6"/>
    <w:rsid w:val="00EA5F88"/>
    <w:rsid w:val="00EB0333"/>
    <w:rsid w:val="00EF48A8"/>
    <w:rsid w:val="00F16EC4"/>
    <w:rsid w:val="00F27C4A"/>
    <w:rsid w:val="00F676EB"/>
    <w:rsid w:val="00F83DC7"/>
    <w:rsid w:val="00FA3970"/>
    <w:rsid w:val="00FB236E"/>
    <w:rsid w:val="00FD11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paragraph" w:customStyle="1" w:styleId="Doc-text2">
    <w:name w:val="Doc-text2"/>
    <w:basedOn w:val="a"/>
    <w:link w:val="Doc-text2Char"/>
    <w:qFormat/>
    <w:rsid w:val="00C47038"/>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C47038"/>
    <w:rPr>
      <w:rFonts w:ascii="Arial" w:eastAsia="ＭＳ 明朝" w:hAnsi="Arial" w:cs="Times New Roman"/>
      <w:kern w:val="0"/>
      <w:sz w:val="20"/>
      <w:szCs w:val="24"/>
      <w:lang w:val="en-GB" w:eastAsia="en-GB"/>
    </w:rPr>
  </w:style>
  <w:style w:type="paragraph" w:customStyle="1" w:styleId="Agreement">
    <w:name w:val="Agreement"/>
    <w:basedOn w:val="a"/>
    <w:next w:val="Doc-text2"/>
    <w:qFormat/>
    <w:rsid w:val="00C47038"/>
    <w:pPr>
      <w:widowControl/>
      <w:numPr>
        <w:numId w:val="1"/>
      </w:numPr>
      <w:spacing w:before="60"/>
      <w:jc w:val="left"/>
    </w:pPr>
    <w:rPr>
      <w:rFonts w:ascii="Arial" w:eastAsia="ＭＳ 明朝" w:hAnsi="Arial" w:cs="Times New Roman"/>
      <w:b/>
      <w:kern w:val="0"/>
      <w:sz w:val="20"/>
      <w:szCs w:val="24"/>
      <w:lang w:eastAsia="en-GB"/>
    </w:rPr>
  </w:style>
  <w:style w:type="table" w:styleId="a7">
    <w:name w:val="Table Grid"/>
    <w:basedOn w:val="a1"/>
    <w:uiPriority w:val="39"/>
    <w:rsid w:val="000A5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9076263">
      <w:bodyDiv w:val="1"/>
      <w:marLeft w:val="0"/>
      <w:marRight w:val="0"/>
      <w:marTop w:val="0"/>
      <w:marBottom w:val="0"/>
      <w:divBdr>
        <w:top w:val="none" w:sz="0" w:space="0" w:color="auto"/>
        <w:left w:val="none" w:sz="0" w:space="0" w:color="auto"/>
        <w:bottom w:val="none" w:sz="0" w:space="0" w:color="auto"/>
        <w:right w:val="none" w:sz="0" w:space="0" w:color="auto"/>
      </w:divBdr>
      <w:divsChild>
        <w:div w:id="408965943">
          <w:marLeft w:val="0"/>
          <w:marRight w:val="0"/>
          <w:marTop w:val="0"/>
          <w:marBottom w:val="0"/>
          <w:divBdr>
            <w:top w:val="none" w:sz="0" w:space="0" w:color="auto"/>
            <w:left w:val="none" w:sz="0" w:space="0" w:color="auto"/>
            <w:bottom w:val="none" w:sz="0" w:space="0" w:color="auto"/>
            <w:right w:val="none" w:sz="0" w:space="0" w:color="auto"/>
          </w:divBdr>
          <w:divsChild>
            <w:div w:id="1134639105">
              <w:marLeft w:val="0"/>
              <w:marRight w:val="0"/>
              <w:marTop w:val="0"/>
              <w:marBottom w:val="0"/>
              <w:divBdr>
                <w:top w:val="none" w:sz="0" w:space="0" w:color="auto"/>
                <w:left w:val="none" w:sz="0" w:space="0" w:color="auto"/>
                <w:bottom w:val="none" w:sz="0" w:space="0" w:color="auto"/>
                <w:right w:val="none" w:sz="0" w:space="0" w:color="auto"/>
              </w:divBdr>
              <w:divsChild>
                <w:div w:id="106900751">
                  <w:marLeft w:val="0"/>
                  <w:marRight w:val="0"/>
                  <w:marTop w:val="0"/>
                  <w:marBottom w:val="0"/>
                  <w:divBdr>
                    <w:top w:val="none" w:sz="0" w:space="0" w:color="auto"/>
                    <w:left w:val="none" w:sz="0" w:space="0" w:color="auto"/>
                    <w:bottom w:val="none" w:sz="0" w:space="0" w:color="auto"/>
                    <w:right w:val="none" w:sz="0" w:space="0" w:color="auto"/>
                  </w:divBdr>
                  <w:divsChild>
                    <w:div w:id="1083138819">
                      <w:marLeft w:val="0"/>
                      <w:marRight w:val="0"/>
                      <w:marTop w:val="0"/>
                      <w:marBottom w:val="0"/>
                      <w:divBdr>
                        <w:top w:val="none" w:sz="0" w:space="0" w:color="auto"/>
                        <w:left w:val="none" w:sz="0" w:space="0" w:color="auto"/>
                        <w:bottom w:val="none" w:sz="0" w:space="0" w:color="auto"/>
                        <w:right w:val="none" w:sz="0" w:space="0" w:color="auto"/>
                      </w:divBdr>
                      <w:divsChild>
                        <w:div w:id="1558010274">
                          <w:marLeft w:val="0"/>
                          <w:marRight w:val="0"/>
                          <w:marTop w:val="0"/>
                          <w:marBottom w:val="0"/>
                          <w:divBdr>
                            <w:top w:val="none" w:sz="0" w:space="0" w:color="auto"/>
                            <w:left w:val="none" w:sz="0" w:space="0" w:color="auto"/>
                            <w:bottom w:val="none" w:sz="0" w:space="0" w:color="auto"/>
                            <w:right w:val="none" w:sz="0" w:space="0" w:color="auto"/>
                          </w:divBdr>
                          <w:divsChild>
                            <w:div w:id="1833176197">
                              <w:marLeft w:val="0"/>
                              <w:marRight w:val="0"/>
                              <w:marTop w:val="0"/>
                              <w:marBottom w:val="0"/>
                              <w:divBdr>
                                <w:top w:val="none" w:sz="0" w:space="0" w:color="auto"/>
                                <w:left w:val="none" w:sz="0" w:space="0" w:color="auto"/>
                                <w:bottom w:val="none" w:sz="0" w:space="0" w:color="auto"/>
                                <w:right w:val="none" w:sz="0" w:space="0" w:color="auto"/>
                              </w:divBdr>
                              <w:divsChild>
                                <w:div w:id="1830975819">
                                  <w:marLeft w:val="0"/>
                                  <w:marRight w:val="0"/>
                                  <w:marTop w:val="0"/>
                                  <w:marBottom w:val="0"/>
                                  <w:divBdr>
                                    <w:top w:val="none" w:sz="0" w:space="0" w:color="auto"/>
                                    <w:left w:val="none" w:sz="0" w:space="0" w:color="auto"/>
                                    <w:bottom w:val="none" w:sz="0" w:space="0" w:color="auto"/>
                                    <w:right w:val="none" w:sz="0" w:space="0" w:color="auto"/>
                                  </w:divBdr>
                                  <w:divsChild>
                                    <w:div w:id="659193334">
                                      <w:marLeft w:val="0"/>
                                      <w:marRight w:val="0"/>
                                      <w:marTop w:val="0"/>
                                      <w:marBottom w:val="0"/>
                                      <w:divBdr>
                                        <w:top w:val="none" w:sz="0" w:space="0" w:color="auto"/>
                                        <w:left w:val="none" w:sz="0" w:space="0" w:color="auto"/>
                                        <w:bottom w:val="none" w:sz="0" w:space="0" w:color="auto"/>
                                        <w:right w:val="none" w:sz="0" w:space="0" w:color="auto"/>
                                      </w:divBdr>
                                      <w:divsChild>
                                        <w:div w:id="1750805043">
                                          <w:marLeft w:val="0"/>
                                          <w:marRight w:val="0"/>
                                          <w:marTop w:val="0"/>
                                          <w:marBottom w:val="0"/>
                                          <w:divBdr>
                                            <w:top w:val="none" w:sz="0" w:space="0" w:color="auto"/>
                                            <w:left w:val="none" w:sz="0" w:space="0" w:color="auto"/>
                                            <w:bottom w:val="none" w:sz="0" w:space="0" w:color="auto"/>
                                            <w:right w:val="none" w:sz="0" w:space="0" w:color="auto"/>
                                          </w:divBdr>
                                        </w:div>
                                        <w:div w:id="2047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880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314</TotalTime>
  <Pages>3</Pages>
  <Words>1068</Words>
  <Characters>6093</Characters>
  <Application>Microsoft Office Word</Application>
  <DocSecurity>0</DocSecurity>
  <Lines>50</Lines>
  <Paragraphs>14</Paragraphs>
  <ScaleCrop>false</ScaleCrop>
  <Company/>
  <LinksUpToDate>false</LinksUpToDate>
  <CharactersWithSpaces>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94</cp:revision>
  <dcterms:created xsi:type="dcterms:W3CDTF">2019-04-30T06:30:00Z</dcterms:created>
  <dcterms:modified xsi:type="dcterms:W3CDTF">2021-01-15T04:23:00Z</dcterms:modified>
</cp:coreProperties>
</file>